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003F44BC"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3F44BC" w:rsidRPr="00975E70" w:rsidRDefault="003F44BC" w:rsidP="0022710B">
            <w:pPr>
              <w:spacing w:line="264" w:lineRule="auto"/>
              <w:jc w:val="center"/>
              <w:rPr>
                <w:rFonts w:asciiTheme="majorHAnsi" w:hAnsiTheme="majorHAnsi" w:cstheme="majorHAnsi"/>
                <w:b/>
                <w:sz w:val="22"/>
                <w:szCs w:val="22"/>
              </w:rPr>
            </w:pPr>
            <w:bookmarkStart w:id="0" w:name="_GoBack"/>
            <w:bookmarkEnd w:id="0"/>
            <w:r w:rsidRPr="00975E70">
              <w:rPr>
                <w:rFonts w:asciiTheme="majorHAnsi" w:hAnsiTheme="majorHAnsi" w:cstheme="majorHAnsi"/>
                <w:b/>
                <w:sz w:val="22"/>
                <w:szCs w:val="22"/>
              </w:rPr>
              <w:t>UČNI NAČRT PREDMETA / COURSE SYLLABUS</w:t>
            </w:r>
          </w:p>
        </w:tc>
      </w:tr>
      <w:tr w:rsidR="003F44BC" w:rsidRPr="00975E70" w:rsidTr="0022710B">
        <w:tc>
          <w:tcPr>
            <w:tcW w:w="1798" w:type="dxa"/>
            <w:gridSpan w:val="3"/>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Predmet:</w:t>
            </w:r>
          </w:p>
        </w:tc>
        <w:tc>
          <w:tcPr>
            <w:tcW w:w="7892" w:type="dxa"/>
            <w:gridSpan w:val="15"/>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Zgodovina umetnosti IV </w:t>
            </w:r>
          </w:p>
        </w:tc>
      </w:tr>
      <w:tr w:rsidR="003F44BC" w:rsidRPr="00975E70" w:rsidTr="0022710B">
        <w:tc>
          <w:tcPr>
            <w:tcW w:w="1798" w:type="dxa"/>
            <w:gridSpan w:val="3"/>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2" w:type="dxa"/>
            <w:gridSpan w:val="15"/>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Art History IV</w:t>
            </w:r>
          </w:p>
        </w:tc>
      </w:tr>
      <w:tr w:rsidR="003F44BC" w:rsidRPr="00975E70" w:rsidTr="0022710B">
        <w:tc>
          <w:tcPr>
            <w:tcW w:w="3306" w:type="dxa"/>
            <w:gridSpan w:val="5"/>
            <w:vAlign w:val="center"/>
          </w:tcPr>
          <w:p w:rsidR="003F44BC" w:rsidRPr="00975E70" w:rsidRDefault="003F44BC" w:rsidP="0022710B">
            <w:pPr>
              <w:spacing w:line="264" w:lineRule="auto"/>
              <w:jc w:val="center"/>
              <w:rPr>
                <w:rFonts w:asciiTheme="majorHAnsi" w:hAnsiTheme="majorHAnsi" w:cstheme="majorHAnsi"/>
                <w:b/>
                <w:sz w:val="22"/>
                <w:szCs w:val="22"/>
              </w:rPr>
            </w:pPr>
          </w:p>
        </w:tc>
        <w:tc>
          <w:tcPr>
            <w:tcW w:w="3401" w:type="dxa"/>
            <w:gridSpan w:val="8"/>
            <w:vAlign w:val="center"/>
          </w:tcPr>
          <w:p w:rsidR="003F44BC" w:rsidRPr="00975E70" w:rsidRDefault="003F44BC" w:rsidP="0022710B">
            <w:pPr>
              <w:spacing w:line="264" w:lineRule="auto"/>
              <w:jc w:val="center"/>
              <w:rPr>
                <w:rFonts w:asciiTheme="majorHAnsi" w:hAnsiTheme="majorHAnsi" w:cstheme="majorHAnsi"/>
                <w:b/>
                <w:sz w:val="22"/>
                <w:szCs w:val="22"/>
              </w:rPr>
            </w:pPr>
          </w:p>
        </w:tc>
        <w:tc>
          <w:tcPr>
            <w:tcW w:w="1558" w:type="dxa"/>
            <w:gridSpan w:val="2"/>
            <w:vAlign w:val="center"/>
          </w:tcPr>
          <w:p w:rsidR="003F44BC" w:rsidRPr="00975E70" w:rsidRDefault="003F44BC" w:rsidP="0022710B">
            <w:pPr>
              <w:spacing w:line="264" w:lineRule="auto"/>
              <w:jc w:val="center"/>
              <w:rPr>
                <w:rFonts w:asciiTheme="majorHAnsi" w:hAnsiTheme="majorHAnsi" w:cstheme="majorHAnsi"/>
                <w:b/>
                <w:sz w:val="22"/>
                <w:szCs w:val="22"/>
              </w:rPr>
            </w:pPr>
          </w:p>
        </w:tc>
        <w:tc>
          <w:tcPr>
            <w:tcW w:w="1425" w:type="dxa"/>
            <w:gridSpan w:val="3"/>
            <w:vAlign w:val="center"/>
          </w:tcPr>
          <w:p w:rsidR="003F44BC" w:rsidRPr="00975E70" w:rsidRDefault="003F44BC" w:rsidP="0022710B">
            <w:pPr>
              <w:spacing w:line="264" w:lineRule="auto"/>
              <w:jc w:val="center"/>
              <w:rPr>
                <w:rFonts w:asciiTheme="majorHAnsi" w:hAnsiTheme="majorHAnsi" w:cstheme="majorHAnsi"/>
                <w:b/>
                <w:sz w:val="22"/>
                <w:szCs w:val="22"/>
              </w:rPr>
            </w:pPr>
          </w:p>
        </w:tc>
      </w:tr>
      <w:tr w:rsidR="003F44BC" w:rsidRPr="00975E70" w:rsidTr="0022710B">
        <w:tc>
          <w:tcPr>
            <w:tcW w:w="3306" w:type="dxa"/>
            <w:gridSpan w:val="5"/>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Študijski program in stopnja</w:t>
            </w:r>
          </w:p>
          <w:p w:rsidR="003F44BC" w:rsidRPr="00975E70" w:rsidRDefault="003F44BC"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Študijska smer</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Letnik</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5" w:type="dxa"/>
            <w:gridSpan w:val="3"/>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3F44BC"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rPr>
                <w:rFonts w:asciiTheme="majorHAnsi" w:hAnsiTheme="majorHAnsi" w:cstheme="majorHAnsi"/>
                <w:bCs/>
                <w:sz w:val="22"/>
                <w:szCs w:val="22"/>
                <w:lang w:val="it-IT"/>
              </w:rPr>
            </w:pPr>
            <w:r w:rsidRPr="00975E70">
              <w:rPr>
                <w:rFonts w:asciiTheme="majorHAnsi" w:hAnsiTheme="majorHAnsi" w:cstheme="majorHAnsi"/>
                <w:sz w:val="22"/>
                <w:szCs w:val="22"/>
                <w:lang w:val="it-IT"/>
              </w:rPr>
              <w:t>Vizualne umetnosti in oblikovanje,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ind w:left="720"/>
              <w:rPr>
                <w:rFonts w:asciiTheme="majorHAnsi" w:hAnsiTheme="majorHAnsi" w:cstheme="majorHAnsi"/>
                <w:bCs/>
                <w:sz w:val="22"/>
                <w:szCs w:val="22"/>
              </w:rPr>
            </w:pPr>
            <w:r w:rsidRPr="00975E70">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p>
        </w:tc>
      </w:tr>
      <w:tr w:rsidR="003F44BC"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
                <w:bCs/>
                <w:sz w:val="22"/>
                <w:szCs w:val="22"/>
              </w:rPr>
            </w:pPr>
          </w:p>
        </w:tc>
      </w:tr>
      <w:tr w:rsidR="003F44BC" w:rsidRPr="00975E70" w:rsidTr="0022710B">
        <w:trPr>
          <w:trHeight w:val="103"/>
        </w:trPr>
        <w:tc>
          <w:tcPr>
            <w:tcW w:w="9690" w:type="dxa"/>
            <w:gridSpan w:val="18"/>
          </w:tcPr>
          <w:p w:rsidR="003F44BC" w:rsidRPr="00975E70" w:rsidRDefault="003F44BC" w:rsidP="0022710B">
            <w:pPr>
              <w:spacing w:line="264" w:lineRule="auto"/>
              <w:rPr>
                <w:rFonts w:asciiTheme="majorHAnsi" w:hAnsiTheme="majorHAnsi" w:cstheme="majorHAnsi"/>
                <w:b/>
                <w:bCs/>
                <w:sz w:val="22"/>
                <w:szCs w:val="22"/>
              </w:rPr>
            </w:pPr>
          </w:p>
        </w:tc>
      </w:tr>
      <w:tr w:rsidR="003F44BC" w:rsidRPr="00975E70" w:rsidTr="0022710B">
        <w:tc>
          <w:tcPr>
            <w:tcW w:w="5717" w:type="dxa"/>
            <w:gridSpan w:val="12"/>
            <w:tcBorders>
              <w:top w:val="nil"/>
              <w:left w:val="nil"/>
              <w:bottom w:val="nil"/>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Vrsta predmeta / Course type</w:t>
            </w:r>
          </w:p>
        </w:tc>
        <w:tc>
          <w:tcPr>
            <w:tcW w:w="3973" w:type="dxa"/>
            <w:gridSpan w:val="6"/>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Obvezni predmet / Compulsory subject</w:t>
            </w:r>
          </w:p>
        </w:tc>
      </w:tr>
      <w:tr w:rsidR="003F44BC" w:rsidRPr="00975E70" w:rsidTr="0022710B">
        <w:tc>
          <w:tcPr>
            <w:tcW w:w="5717" w:type="dxa"/>
            <w:gridSpan w:val="12"/>
          </w:tcPr>
          <w:p w:rsidR="003F44BC" w:rsidRPr="00975E70" w:rsidRDefault="003F44BC" w:rsidP="0022710B">
            <w:pPr>
              <w:spacing w:line="264" w:lineRule="auto"/>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rsidR="003F44BC" w:rsidRPr="00975E70" w:rsidRDefault="003F44BC" w:rsidP="0022710B">
            <w:pPr>
              <w:spacing w:line="264" w:lineRule="auto"/>
              <w:rPr>
                <w:rFonts w:asciiTheme="majorHAnsi" w:hAnsiTheme="majorHAnsi" w:cstheme="majorHAnsi"/>
                <w:sz w:val="22"/>
                <w:szCs w:val="22"/>
              </w:rPr>
            </w:pPr>
          </w:p>
        </w:tc>
      </w:tr>
      <w:tr w:rsidR="003F44BC" w:rsidRPr="00975E70" w:rsidTr="0022710B">
        <w:tc>
          <w:tcPr>
            <w:tcW w:w="5717" w:type="dxa"/>
            <w:gridSpan w:val="12"/>
            <w:tcBorders>
              <w:top w:val="nil"/>
              <w:left w:val="nil"/>
              <w:bottom w:val="nil"/>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Univerzitetna koda predmeta / University course code:</w:t>
            </w:r>
          </w:p>
        </w:tc>
        <w:tc>
          <w:tcPr>
            <w:tcW w:w="3973" w:type="dxa"/>
            <w:gridSpan w:val="6"/>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tc>
      </w:tr>
      <w:tr w:rsidR="003F44BC" w:rsidRPr="00975E70" w:rsidTr="0022710B">
        <w:tc>
          <w:tcPr>
            <w:tcW w:w="9690" w:type="dxa"/>
            <w:gridSpan w:val="18"/>
          </w:tcPr>
          <w:p w:rsidR="003F44BC" w:rsidRPr="00975E70" w:rsidRDefault="003F44BC" w:rsidP="0022710B">
            <w:pPr>
              <w:spacing w:line="264" w:lineRule="auto"/>
              <w:rPr>
                <w:rFonts w:asciiTheme="majorHAnsi" w:hAnsiTheme="majorHAnsi" w:cstheme="majorHAnsi"/>
                <w:sz w:val="22"/>
                <w:szCs w:val="22"/>
              </w:rPr>
            </w:pPr>
          </w:p>
        </w:tc>
      </w:tr>
      <w:tr w:rsidR="003F44BC" w:rsidRPr="00975E70" w:rsidTr="0022710B">
        <w:tc>
          <w:tcPr>
            <w:tcW w:w="1409" w:type="dxa"/>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Predavanja</w:t>
            </w:r>
          </w:p>
          <w:p w:rsidR="003F44BC" w:rsidRPr="00975E70" w:rsidRDefault="003F44BC"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Vaje</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Tutorials</w:t>
            </w:r>
          </w:p>
        </w:tc>
        <w:tc>
          <w:tcPr>
            <w:tcW w:w="1418" w:type="dxa"/>
            <w:gridSpan w:val="4"/>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Klinične vaje</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Clinical work</w:t>
            </w:r>
          </w:p>
        </w:tc>
        <w:tc>
          <w:tcPr>
            <w:tcW w:w="1417" w:type="dxa"/>
            <w:gridSpan w:val="3"/>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Samost. delo</w:t>
            </w:r>
          </w:p>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Individ. work</w:t>
            </w:r>
          </w:p>
        </w:tc>
        <w:tc>
          <w:tcPr>
            <w:tcW w:w="132" w:type="dxa"/>
            <w:vAlign w:val="center"/>
          </w:tcPr>
          <w:p w:rsidR="003F44BC" w:rsidRPr="00975E70" w:rsidRDefault="003F44BC" w:rsidP="0022710B">
            <w:pPr>
              <w:spacing w:line="264" w:lineRule="auto"/>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tcPr>
          <w:p w:rsidR="003F44BC" w:rsidRPr="00975E70" w:rsidRDefault="003F44BC"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3F44BC" w:rsidRPr="00975E70" w:rsidTr="0022710B">
        <w:trPr>
          <w:trHeight w:val="318"/>
        </w:trPr>
        <w:tc>
          <w:tcPr>
            <w:tcW w:w="1409" w:type="dxa"/>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pStyle w:val="Navadensplet"/>
              <w:spacing w:before="0" w:beforeAutospacing="0" w:after="0" w:afterAutospacing="0" w:line="264" w:lineRule="auto"/>
              <w:jc w:val="center"/>
              <w:rPr>
                <w:rFonts w:asciiTheme="majorHAnsi" w:hAnsiTheme="majorHAnsi" w:cstheme="majorHAnsi"/>
                <w:sz w:val="22"/>
                <w:szCs w:val="22"/>
              </w:rPr>
            </w:pPr>
            <w:r w:rsidRPr="00975E70">
              <w:rPr>
                <w:rFonts w:asciiTheme="majorHAnsi" w:hAnsiTheme="majorHAnsi" w:cstheme="majorHAns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pStyle w:val="Navadensplet"/>
              <w:spacing w:before="0" w:beforeAutospacing="0" w:after="0" w:afterAutospacing="0" w:line="264" w:lineRule="auto"/>
              <w:jc w:val="center"/>
              <w:rPr>
                <w:rFonts w:asciiTheme="majorHAnsi" w:hAnsiTheme="majorHAnsi" w:cstheme="majorHAnsi"/>
                <w:sz w:val="22"/>
                <w:szCs w:val="22"/>
              </w:rPr>
            </w:pPr>
            <w:r w:rsidRPr="00975E70">
              <w:rPr>
                <w:rFonts w:asciiTheme="majorHAnsi" w:hAnsiTheme="majorHAnsi" w:cstheme="majorHAnsi"/>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15 (7 V, 8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pStyle w:val="Navadensplet"/>
              <w:spacing w:before="0" w:beforeAutospacing="0" w:after="0" w:afterAutospacing="0" w:line="264" w:lineRule="auto"/>
              <w:jc w:val="center"/>
              <w:rPr>
                <w:rFonts w:asciiTheme="majorHAnsi" w:hAnsiTheme="majorHAnsi" w:cstheme="majorHAnsi"/>
                <w:b/>
                <w:sz w:val="22"/>
                <w:szCs w:val="22"/>
              </w:rPr>
            </w:pPr>
            <w:r w:rsidRPr="00975E70">
              <w:rPr>
                <w:rStyle w:val="Krepko"/>
                <w:rFonts w:asciiTheme="majorHAnsi" w:hAnsiTheme="majorHAnsi" w:cstheme="majorHAnsi"/>
                <w:sz w:val="22"/>
                <w:szCs w:val="22"/>
              </w:rPr>
              <w:t>80</w:t>
            </w:r>
          </w:p>
        </w:tc>
        <w:tc>
          <w:tcPr>
            <w:tcW w:w="132" w:type="dxa"/>
            <w:tcBorders>
              <w:top w:val="nil"/>
              <w:left w:val="single" w:sz="4" w:space="0" w:color="auto"/>
              <w:bottom w:val="nil"/>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rsidR="003F44BC" w:rsidRPr="00975E70" w:rsidRDefault="003F44BC"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sz w:val="22"/>
                <w:szCs w:val="22"/>
              </w:rPr>
              <w:t>4</w:t>
            </w:r>
          </w:p>
        </w:tc>
      </w:tr>
      <w:tr w:rsidR="003F44BC" w:rsidRPr="00975E70" w:rsidTr="0022710B">
        <w:tc>
          <w:tcPr>
            <w:tcW w:w="9690" w:type="dxa"/>
            <w:gridSpan w:val="18"/>
          </w:tcPr>
          <w:p w:rsidR="003F44BC" w:rsidRPr="00975E70" w:rsidRDefault="003F44BC" w:rsidP="0022710B">
            <w:pPr>
              <w:spacing w:line="264" w:lineRule="auto"/>
              <w:rPr>
                <w:rFonts w:asciiTheme="majorHAnsi" w:hAnsiTheme="majorHAnsi" w:cstheme="majorHAnsi"/>
                <w:b/>
                <w:bCs/>
                <w:sz w:val="22"/>
                <w:szCs w:val="22"/>
              </w:rPr>
            </w:pPr>
          </w:p>
        </w:tc>
      </w:tr>
      <w:tr w:rsidR="003F44BC" w:rsidRPr="00975E70" w:rsidTr="0022710B">
        <w:tc>
          <w:tcPr>
            <w:tcW w:w="3306" w:type="dxa"/>
            <w:gridSpan w:val="5"/>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Nosilec predmeta / Lecturer:</w:t>
            </w:r>
          </w:p>
        </w:tc>
        <w:tc>
          <w:tcPr>
            <w:tcW w:w="6384" w:type="dxa"/>
            <w:gridSpan w:val="13"/>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Izr. prof. dr. Boris Kavur</w:t>
            </w:r>
          </w:p>
        </w:tc>
      </w:tr>
      <w:tr w:rsidR="003F44BC" w:rsidRPr="00975E70" w:rsidTr="0022710B">
        <w:tc>
          <w:tcPr>
            <w:tcW w:w="9690" w:type="dxa"/>
            <w:gridSpan w:val="18"/>
          </w:tcPr>
          <w:p w:rsidR="003F44BC" w:rsidRPr="00975E70" w:rsidRDefault="003F44BC" w:rsidP="0022710B">
            <w:pPr>
              <w:spacing w:line="264" w:lineRule="auto"/>
              <w:jc w:val="both"/>
              <w:rPr>
                <w:rFonts w:asciiTheme="majorHAnsi" w:hAnsiTheme="majorHAnsi" w:cstheme="majorHAnsi"/>
                <w:sz w:val="22"/>
                <w:szCs w:val="22"/>
              </w:rPr>
            </w:pPr>
          </w:p>
        </w:tc>
      </w:tr>
      <w:tr w:rsidR="003F44BC" w:rsidRPr="00975E70" w:rsidTr="0022710B">
        <w:tc>
          <w:tcPr>
            <w:tcW w:w="1640" w:type="dxa"/>
            <w:gridSpan w:val="2"/>
            <w:vMerge w:val="restart"/>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 xml:space="preserve">Jeziki / </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3F44BC" w:rsidRPr="00975E70" w:rsidRDefault="003F44BC" w:rsidP="0022710B">
            <w:pPr>
              <w:spacing w:line="264" w:lineRule="auto"/>
              <w:jc w:val="right"/>
              <w:rPr>
                <w:rFonts w:asciiTheme="majorHAnsi" w:hAnsiTheme="majorHAnsi" w:cstheme="majorHAnsi"/>
                <w:b/>
                <w:sz w:val="22"/>
                <w:szCs w:val="22"/>
              </w:rPr>
            </w:pPr>
            <w:r w:rsidRPr="00975E70">
              <w:rPr>
                <w:rFonts w:asciiTheme="majorHAnsi" w:hAnsiTheme="majorHAnsi" w:cstheme="majorHAnsi"/>
                <w:b/>
                <w:sz w:val="22"/>
                <w:szCs w:val="22"/>
              </w:rPr>
              <w:t>Predavanja / Lectures:</w:t>
            </w:r>
          </w:p>
        </w:tc>
        <w:tc>
          <w:tcPr>
            <w:tcW w:w="5809" w:type="dxa"/>
            <w:gridSpan w:val="12"/>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jc w:val="both"/>
              <w:rPr>
                <w:rFonts w:asciiTheme="majorHAnsi" w:hAnsiTheme="majorHAnsi" w:cstheme="majorHAnsi"/>
                <w:bCs/>
                <w:sz w:val="22"/>
                <w:szCs w:val="22"/>
              </w:rPr>
            </w:pPr>
            <w:r w:rsidRPr="00975E70">
              <w:rPr>
                <w:rFonts w:asciiTheme="majorHAnsi" w:hAnsiTheme="majorHAnsi" w:cstheme="majorHAnsi"/>
                <w:bCs/>
                <w:sz w:val="22"/>
                <w:szCs w:val="22"/>
              </w:rPr>
              <w:t>slovenski/Slovene</w:t>
            </w:r>
          </w:p>
        </w:tc>
      </w:tr>
      <w:tr w:rsidR="003F44BC" w:rsidRPr="00975E70" w:rsidTr="0022710B">
        <w:trPr>
          <w:trHeight w:val="215"/>
        </w:trPr>
        <w:tc>
          <w:tcPr>
            <w:tcW w:w="1640" w:type="dxa"/>
            <w:gridSpan w:val="2"/>
            <w:vMerge/>
            <w:vAlign w:val="center"/>
          </w:tcPr>
          <w:p w:rsidR="003F44BC" w:rsidRPr="00975E70" w:rsidRDefault="003F44BC" w:rsidP="0022710B">
            <w:pPr>
              <w:spacing w:line="264" w:lineRule="auto"/>
              <w:rPr>
                <w:rFonts w:asciiTheme="majorHAnsi" w:hAnsiTheme="majorHAnsi" w:cstheme="majorHAnsi"/>
                <w:b/>
                <w:bCs/>
                <w:sz w:val="22"/>
                <w:szCs w:val="22"/>
              </w:rPr>
            </w:pPr>
          </w:p>
        </w:tc>
        <w:tc>
          <w:tcPr>
            <w:tcW w:w="2241" w:type="dxa"/>
            <w:gridSpan w:val="4"/>
          </w:tcPr>
          <w:p w:rsidR="003F44BC" w:rsidRPr="00975E70" w:rsidRDefault="003F44BC" w:rsidP="0022710B">
            <w:pPr>
              <w:spacing w:line="264" w:lineRule="auto"/>
              <w:jc w:val="right"/>
              <w:rPr>
                <w:rFonts w:asciiTheme="majorHAnsi" w:hAnsiTheme="majorHAnsi" w:cstheme="majorHAnsi"/>
                <w:b/>
                <w:sz w:val="22"/>
                <w:szCs w:val="22"/>
              </w:rPr>
            </w:pPr>
            <w:r w:rsidRPr="00975E70">
              <w:rPr>
                <w:rFonts w:asciiTheme="majorHAnsi" w:hAnsiTheme="majorHAnsi" w:cstheme="majorHAnsi"/>
                <w:b/>
                <w:sz w:val="22"/>
                <w:szCs w:val="22"/>
              </w:rPr>
              <w:t>Vaje / Tutorials:</w:t>
            </w:r>
          </w:p>
        </w:tc>
        <w:tc>
          <w:tcPr>
            <w:tcW w:w="5809" w:type="dxa"/>
            <w:gridSpan w:val="12"/>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jc w:val="both"/>
              <w:rPr>
                <w:rFonts w:asciiTheme="majorHAnsi" w:hAnsiTheme="majorHAnsi" w:cstheme="majorHAnsi"/>
                <w:bCs/>
                <w:sz w:val="22"/>
                <w:szCs w:val="22"/>
              </w:rPr>
            </w:pPr>
            <w:r w:rsidRPr="00975E70">
              <w:rPr>
                <w:rFonts w:asciiTheme="majorHAnsi" w:hAnsiTheme="majorHAnsi" w:cstheme="majorHAnsi"/>
                <w:bCs/>
                <w:sz w:val="22"/>
                <w:szCs w:val="22"/>
              </w:rPr>
              <w:t>slovenski/Slovene</w:t>
            </w:r>
          </w:p>
        </w:tc>
      </w:tr>
      <w:tr w:rsidR="003F44BC" w:rsidRPr="00975E70" w:rsidTr="0022710B">
        <w:tc>
          <w:tcPr>
            <w:tcW w:w="4727" w:type="dxa"/>
            <w:gridSpan w:val="9"/>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bCs/>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Pogoji za vključitev v delo oz. za opravljanje študijskih obveznosti:</w:t>
            </w:r>
          </w:p>
        </w:tc>
        <w:tc>
          <w:tcPr>
            <w:tcW w:w="142" w:type="dxa"/>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3F44BC" w:rsidRPr="00975E70" w:rsidTr="0022710B">
        <w:trPr>
          <w:trHeight w:val="327"/>
        </w:trPr>
        <w:tc>
          <w:tcPr>
            <w:tcW w:w="4727" w:type="dxa"/>
            <w:gridSpan w:val="9"/>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Vpis v letnik.</w:t>
            </w:r>
          </w:p>
        </w:tc>
        <w:tc>
          <w:tcPr>
            <w:tcW w:w="142" w:type="dxa"/>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Enrolment in the year.</w:t>
            </w:r>
          </w:p>
        </w:tc>
      </w:tr>
      <w:tr w:rsidR="003F44BC" w:rsidRPr="00975E70" w:rsidTr="0022710B">
        <w:trPr>
          <w:trHeight w:val="137"/>
        </w:trPr>
        <w:tc>
          <w:tcPr>
            <w:tcW w:w="4717" w:type="dxa"/>
            <w:gridSpan w:val="8"/>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Vsebina:</w:t>
            </w:r>
            <w:r w:rsidRPr="00975E70">
              <w:rPr>
                <w:rFonts w:asciiTheme="majorHAnsi" w:hAnsiTheme="majorHAnsi" w:cstheme="majorHAnsi"/>
                <w:sz w:val="22"/>
                <w:szCs w:val="22"/>
              </w:rPr>
              <w:t xml:space="preserve"> </w:t>
            </w:r>
          </w:p>
        </w:tc>
        <w:tc>
          <w:tcPr>
            <w:tcW w:w="152" w:type="dxa"/>
            <w:gridSpan w:val="2"/>
          </w:tcPr>
          <w:p w:rsidR="003F44BC" w:rsidRPr="00975E70" w:rsidRDefault="003F44BC" w:rsidP="0022710B">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3F44BC" w:rsidRPr="00975E70" w:rsidTr="0022710B">
        <w:trPr>
          <w:trHeight w:val="2665"/>
        </w:trPr>
        <w:tc>
          <w:tcPr>
            <w:tcW w:w="4717" w:type="dxa"/>
            <w:gridSpan w:val="8"/>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Umetnostno zgodovinski pregled razvoja moderne umetnosti v drugi polovici 20. stoletja. Pregled tvori predstavitev najpomembnejših predstavnikov posameznih stilnih obdobij in smeri, sinhrono pa se predavanja posvečajo tudi najbolj značilnim problemskim sklopom in fenomenom, ki določajo značaj posameznega umetnostnega obdobja (v nadaljevanju pri posameznem obdobju navedeni v oklepaju). </w:t>
            </w:r>
          </w:p>
          <w:p w:rsidR="003F44BC" w:rsidRPr="00975E70" w:rsidRDefault="003F44BC" w:rsidP="0022710B">
            <w:pPr>
              <w:spacing w:line="264" w:lineRule="auto"/>
              <w:rPr>
                <w:rFonts w:asciiTheme="majorHAnsi" w:hAnsiTheme="majorHAnsi" w:cstheme="majorHAnsi"/>
                <w:sz w:val="22"/>
                <w:szCs w:val="22"/>
                <w:lang w:val="it-IT"/>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Glavne teme:</w:t>
            </w:r>
          </w:p>
          <w:p w:rsidR="003F44BC" w:rsidRPr="00975E70" w:rsidRDefault="003F44BC" w:rsidP="003F44BC">
            <w:pPr>
              <w:numPr>
                <w:ilvl w:val="0"/>
                <w:numId w:val="3"/>
              </w:numPr>
              <w:spacing w:line="264" w:lineRule="auto"/>
              <w:ind w:left="284" w:hanging="284"/>
              <w:rPr>
                <w:rFonts w:asciiTheme="majorHAnsi" w:hAnsiTheme="majorHAnsi" w:cstheme="majorHAnsi"/>
                <w:sz w:val="22"/>
                <w:szCs w:val="22"/>
              </w:rPr>
            </w:pPr>
            <w:r w:rsidRPr="00975E70">
              <w:rPr>
                <w:rFonts w:asciiTheme="majorHAnsi" w:hAnsiTheme="majorHAnsi" w:cstheme="majorHAnsi"/>
                <w:sz w:val="22"/>
                <w:szCs w:val="22"/>
              </w:rPr>
              <w:t>evropski visoki modernizem in ameriški abstraktni ekspresionizem (oblikovanje nove vizualne izkušnje ameriške kulture kot nosilke razvoja umetnosti in kulture po drugi svetovni vojni; eksistencializem in informel, art-brut, pop-</w:t>
            </w:r>
            <w:r w:rsidRPr="00975E70">
              <w:rPr>
                <w:rFonts w:asciiTheme="majorHAnsi" w:hAnsiTheme="majorHAnsi" w:cstheme="majorHAnsi"/>
                <w:sz w:val="22"/>
                <w:szCs w:val="22"/>
              </w:rPr>
              <w:lastRenderedPageBreak/>
              <w:t>art v ameriški in evropski izkušnji, avtopoetike in sublimno v umetnosti),</w:t>
            </w:r>
          </w:p>
          <w:p w:rsidR="003F44BC" w:rsidRPr="00975E70" w:rsidRDefault="003F44BC" w:rsidP="003F44BC">
            <w:pPr>
              <w:numPr>
                <w:ilvl w:val="0"/>
                <w:numId w:val="3"/>
              </w:numPr>
              <w:spacing w:line="264" w:lineRule="auto"/>
              <w:ind w:left="284"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Greenbergova teorija moderne umetnosti in minimalizem (primarno ali analitično slikarstvo in marksistična teorija umetnosti),</w:t>
            </w:r>
          </w:p>
          <w:p w:rsidR="003F44BC" w:rsidRPr="00975E70" w:rsidRDefault="003F44BC" w:rsidP="003F44BC">
            <w:pPr>
              <w:numPr>
                <w:ilvl w:val="0"/>
                <w:numId w:val="3"/>
              </w:numPr>
              <w:spacing w:line="264" w:lineRule="auto"/>
              <w:ind w:left="284"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povojna avantgardna umetnost – konceptualna umetnost, land-art, body-art, feministična umetnost, novi mediji (razširjeno polje ikonografije in imaginarija predhodnikov sodobne umetnosti, teoretični okvir sodobne umetnosti),</w:t>
            </w:r>
          </w:p>
          <w:p w:rsidR="003F44BC" w:rsidRPr="00975E70" w:rsidRDefault="003F44BC" w:rsidP="003F44BC">
            <w:pPr>
              <w:numPr>
                <w:ilvl w:val="0"/>
                <w:numId w:val="3"/>
              </w:numPr>
              <w:spacing w:line="264" w:lineRule="auto"/>
              <w:ind w:left="284"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postmodernizem: slikarstvo poznega 20. st. (Nova podoba, transavantgarda, Neue Wilde, post-konceptualna abstrakcija, slikarstvo medijev) in umetnost post-socialistične avantgarde (NSK, jugoslovanske post-avantgarde, nova identiteta umetnostnega Vzhoda itd.).</w:t>
            </w:r>
          </w:p>
        </w:tc>
        <w:tc>
          <w:tcPr>
            <w:tcW w:w="152" w:type="dxa"/>
            <w:gridSpan w:val="2"/>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sz w:val="22"/>
                <w:szCs w:val="22"/>
                <w:lang w:val="it-IT"/>
              </w:rPr>
            </w:pPr>
          </w:p>
        </w:tc>
        <w:tc>
          <w:tcPr>
            <w:tcW w:w="4821" w:type="dxa"/>
            <w:gridSpan w:val="8"/>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An art historical overview of the development of modern art in the second half of the 20</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The overview consists of a presentation of the most important representatives of individual stylistic periods and movements, while the lectures also synchronously focus on the most characteristic problematic strands and phenomena that define the character of each art period (listed below in parentheses for each period). </w:t>
            </w:r>
          </w:p>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Main themes:</w:t>
            </w:r>
          </w:p>
          <w:p w:rsidR="003F44BC" w:rsidRPr="00975E70" w:rsidRDefault="003F44BC" w:rsidP="003F44BC">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European High Modernism and American Abstract Expressionism (the formation of a new visual experience of the American culture as a vehicle for the development of art and culture after the Second World War; existentialism and informel, art-brut, pop-art in the American and </w:t>
            </w:r>
            <w:r w:rsidRPr="00975E70">
              <w:rPr>
                <w:rFonts w:asciiTheme="majorHAnsi" w:hAnsiTheme="majorHAnsi" w:cstheme="majorHAnsi"/>
                <w:sz w:val="22"/>
                <w:szCs w:val="22"/>
              </w:rPr>
              <w:lastRenderedPageBreak/>
              <w:t>European experience, autopoetics and the sublime in art),</w:t>
            </w:r>
          </w:p>
          <w:p w:rsidR="003F44BC" w:rsidRPr="00975E70" w:rsidRDefault="003F44BC" w:rsidP="003F44BC">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Greenberg's theory of modern art and minimalism (primary or analytical painting and Marxist art theory),</w:t>
            </w:r>
          </w:p>
          <w:p w:rsidR="003F44BC" w:rsidRPr="00975E70" w:rsidRDefault="003F44BC" w:rsidP="003F44BC">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post-war avant-garde art - conceptual art, land-art, body-art, feminist art, new media (the expanded field of iconography and the imaginarium of the precursors of contemporary art, the theoretical framework of contemporary art),</w:t>
            </w:r>
          </w:p>
          <w:p w:rsidR="003F44BC" w:rsidRPr="00975E70" w:rsidRDefault="003F44BC" w:rsidP="003F44BC">
            <w:pPr>
              <w:numPr>
                <w:ilvl w:val="0"/>
                <w:numId w:val="9"/>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Postmodernism: painting of the late 20</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(New Image, Trans avant-garde, Neue Wilde, post-conceptual abstraction, media painting) and the art of the post-socialist avant-garde (NSK, Yugoslavian post-avant-garde, new identity of the art East, etc.).</w:t>
            </w:r>
          </w:p>
        </w:tc>
      </w:tr>
    </w:tbl>
    <w:p w:rsidR="003F44BC" w:rsidRPr="00975E70" w:rsidRDefault="003F44BC" w:rsidP="003F44BC">
      <w:pPr>
        <w:spacing w:line="264" w:lineRule="auto"/>
        <w:rPr>
          <w:rFonts w:asciiTheme="majorHAnsi" w:hAnsiTheme="majorHAnsi" w:cstheme="majorHAnsi"/>
          <w:sz w:val="22"/>
          <w:szCs w:val="22"/>
        </w:rPr>
      </w:pPr>
    </w:p>
    <w:tbl>
      <w:tblPr>
        <w:tblW w:w="9576" w:type="dxa"/>
        <w:tblLayout w:type="fixed"/>
        <w:tblCellMar>
          <w:left w:w="56" w:type="dxa"/>
          <w:right w:w="56" w:type="dxa"/>
        </w:tblCellMar>
        <w:tblLook w:val="00A0" w:firstRow="1" w:lastRow="0" w:firstColumn="1" w:lastColumn="0" w:noHBand="0" w:noVBand="0"/>
      </w:tblPr>
      <w:tblGrid>
        <w:gridCol w:w="4020"/>
        <w:gridCol w:w="697"/>
        <w:gridCol w:w="10"/>
        <w:gridCol w:w="142"/>
        <w:gridCol w:w="407"/>
        <w:gridCol w:w="4290"/>
        <w:gridCol w:w="10"/>
      </w:tblGrid>
      <w:tr w:rsidR="003F44BC" w:rsidRPr="003F44BC" w:rsidTr="0022710B">
        <w:tc>
          <w:tcPr>
            <w:tcW w:w="9576" w:type="dxa"/>
            <w:gridSpan w:val="7"/>
          </w:tcPr>
          <w:p w:rsidR="003F44BC" w:rsidRPr="00975E70" w:rsidRDefault="003F44BC" w:rsidP="0022710B">
            <w:pPr>
              <w:spacing w:line="264" w:lineRule="auto"/>
              <w:jc w:val="both"/>
              <w:rPr>
                <w:rFonts w:asciiTheme="majorHAnsi" w:hAnsiTheme="majorHAnsi" w:cstheme="majorHAnsi"/>
                <w:b/>
                <w:sz w:val="22"/>
                <w:szCs w:val="22"/>
                <w:lang w:val="it-IT"/>
              </w:rPr>
            </w:pPr>
            <w:r w:rsidRPr="003F44BC">
              <w:rPr>
                <w:rFonts w:asciiTheme="majorHAnsi" w:hAnsiTheme="majorHAnsi" w:cstheme="majorHAnsi"/>
                <w:sz w:val="22"/>
                <w:szCs w:val="22"/>
                <w:lang w:val="it-IT"/>
              </w:rPr>
              <w:br w:type="page"/>
            </w:r>
            <w:r w:rsidRPr="00975E70">
              <w:rPr>
                <w:rFonts w:asciiTheme="majorHAnsi" w:hAnsiTheme="majorHAnsi" w:cstheme="majorHAnsi"/>
                <w:b/>
                <w:sz w:val="22"/>
                <w:szCs w:val="22"/>
                <w:lang w:val="it-IT"/>
              </w:rPr>
              <w:t>Temeljni literatura in viri / Readings:</w:t>
            </w:r>
          </w:p>
        </w:tc>
      </w:tr>
      <w:tr w:rsidR="003F44BC" w:rsidRPr="003F44BC" w:rsidTr="0022710B">
        <w:trPr>
          <w:trHeight w:val="66"/>
        </w:trPr>
        <w:tc>
          <w:tcPr>
            <w:tcW w:w="9576" w:type="dxa"/>
            <w:gridSpan w:val="7"/>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Obvezna literatura:</w:t>
            </w:r>
          </w:p>
          <w:p w:rsidR="003F44BC" w:rsidRPr="00975E70" w:rsidRDefault="003F44BC" w:rsidP="003F44BC">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Brejc, T.: Temni modernizem, Cankarjeva založba, Ljubljana, 1991.</w:t>
            </w:r>
          </w:p>
          <w:p w:rsidR="003F44BC" w:rsidRPr="00975E70" w:rsidRDefault="003F44BC" w:rsidP="003F44BC">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Foster, H., Krauss, R., Buchloh, B., Bois Y.-A.: Art Since 1900: Modernism, Anti-Modernism, Post-Modernism, vol. 1 in vol. 2, Thames and Hudson, London-New York, 2004.  </w:t>
            </w:r>
          </w:p>
          <w:p w:rsidR="003F44BC" w:rsidRPr="00975E70" w:rsidRDefault="003F44BC" w:rsidP="003F44BC">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Foster, H.: The return of the </w:t>
            </w:r>
            <w:proofErr w:type="gramStart"/>
            <w:r w:rsidRPr="00975E70">
              <w:rPr>
                <w:rFonts w:asciiTheme="majorHAnsi" w:hAnsiTheme="majorHAnsi" w:cstheme="majorHAnsi"/>
              </w:rPr>
              <w:t>real :</w:t>
            </w:r>
            <w:proofErr w:type="gramEnd"/>
            <w:r w:rsidRPr="00975E70">
              <w:rPr>
                <w:rFonts w:asciiTheme="majorHAnsi" w:hAnsiTheme="majorHAnsi" w:cstheme="majorHAnsi"/>
              </w:rPr>
              <w:t xml:space="preserve"> the avant-garde at the end of the century, Cambridge (Mass.) ; London (England), The MIT Press, 1999.</w:t>
            </w:r>
          </w:p>
          <w:p w:rsidR="003F44BC" w:rsidRPr="00975E70" w:rsidRDefault="003F44BC" w:rsidP="003F44BC">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Gaiger, J., Wood, P. (ed.): Art of the twentieth </w:t>
            </w:r>
            <w:proofErr w:type="gramStart"/>
            <w:r w:rsidRPr="00975E70">
              <w:rPr>
                <w:rFonts w:asciiTheme="majorHAnsi" w:hAnsiTheme="majorHAnsi" w:cstheme="majorHAnsi"/>
              </w:rPr>
              <w:t>century :</w:t>
            </w:r>
            <w:proofErr w:type="gramEnd"/>
            <w:r w:rsidRPr="00975E70">
              <w:rPr>
                <w:rFonts w:asciiTheme="majorHAnsi" w:hAnsiTheme="majorHAnsi" w:cstheme="majorHAnsi"/>
              </w:rPr>
              <w:t xml:space="preserve"> a reader, New Haven, Conn., London, Yale University Press, 2003.</w:t>
            </w:r>
          </w:p>
          <w:p w:rsidR="003F44BC" w:rsidRPr="00975E70" w:rsidRDefault="003F44BC" w:rsidP="003F44BC">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Godfrey, T.:  Conceptual Art, Phaidon press, London, 1998.</w:t>
            </w:r>
          </w:p>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Priporočena literatura:</w:t>
            </w:r>
          </w:p>
          <w:p w:rsidR="003F44BC" w:rsidRPr="00975E70" w:rsidRDefault="003F44BC" w:rsidP="003F44BC">
            <w:pPr>
              <w:pStyle w:val="Odstavekseznama"/>
              <w:numPr>
                <w:ilvl w:val="0"/>
                <w:numId w:val="5"/>
              </w:numPr>
              <w:spacing w:line="264" w:lineRule="auto"/>
              <w:rPr>
                <w:rFonts w:asciiTheme="majorHAnsi" w:hAnsiTheme="majorHAnsi" w:cstheme="majorHAnsi"/>
                <w:b/>
              </w:rPr>
            </w:pPr>
            <w:r w:rsidRPr="00975E70">
              <w:rPr>
                <w:rFonts w:asciiTheme="majorHAnsi" w:hAnsiTheme="majorHAnsi" w:cstheme="majorHAnsi"/>
              </w:rPr>
              <w:t xml:space="preserve">Guilbaut, S., Repensek, T.: The New Adventures of the Avant-Garde in America: Greenberg, Pollock, or from Trotskyism to the New Liberalism of the "Vital Center", </w:t>
            </w:r>
            <w:proofErr w:type="gramStart"/>
            <w:r w:rsidRPr="00975E70">
              <w:rPr>
                <w:rFonts w:asciiTheme="majorHAnsi" w:hAnsiTheme="majorHAnsi" w:cstheme="majorHAnsi"/>
              </w:rPr>
              <w:t>The</w:t>
            </w:r>
            <w:proofErr w:type="gramEnd"/>
            <w:r w:rsidRPr="00975E70">
              <w:rPr>
                <w:rFonts w:asciiTheme="majorHAnsi" w:hAnsiTheme="majorHAnsi" w:cstheme="majorHAnsi"/>
              </w:rPr>
              <w:t xml:space="preserve"> MIT Press, 1980.</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 xml:space="preserve">Harrison, C., Wood, P.: Art in </w:t>
            </w:r>
            <w:proofErr w:type="gramStart"/>
            <w:r w:rsidRPr="00975E70">
              <w:rPr>
                <w:rFonts w:asciiTheme="majorHAnsi" w:hAnsiTheme="majorHAnsi" w:cstheme="majorHAnsi"/>
              </w:rPr>
              <w:t>Theory :</w:t>
            </w:r>
            <w:proofErr w:type="gramEnd"/>
            <w:r w:rsidRPr="00975E70">
              <w:rPr>
                <w:rFonts w:asciiTheme="majorHAnsi" w:hAnsiTheme="majorHAnsi" w:cstheme="majorHAnsi"/>
              </w:rPr>
              <w:t xml:space="preserve"> 1900-1990 : an anthology of changing ideas, Oxford, Cambridge, Blackwell, 1996.</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Lippard, L. R.: Pop Art, Thames and Hudson, London, 1992.</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Lippard, L. R.: Six Years: the Dematerialization of the Art Object, Berkeley/Los Angeles: University of California Press, 1997 (1973)).</w:t>
            </w:r>
          </w:p>
          <w:p w:rsidR="003F44BC" w:rsidRPr="00975E70" w:rsidRDefault="003F44BC" w:rsidP="003F44BC">
            <w:pPr>
              <w:pStyle w:val="Odstavekseznama"/>
              <w:numPr>
                <w:ilvl w:val="0"/>
                <w:numId w:val="5"/>
              </w:numPr>
              <w:spacing w:line="264" w:lineRule="auto"/>
              <w:rPr>
                <w:rFonts w:asciiTheme="majorHAnsi" w:hAnsiTheme="majorHAnsi" w:cstheme="majorHAnsi"/>
                <w:lang w:val="it-IT"/>
              </w:rPr>
            </w:pPr>
            <w:r w:rsidRPr="00975E70">
              <w:rPr>
                <w:rFonts w:asciiTheme="majorHAnsi" w:hAnsiTheme="majorHAnsi" w:cstheme="majorHAnsi"/>
                <w:lang w:val="it-IT"/>
              </w:rPr>
              <w:t>Lynton, N.: Zgodba moderne umetnosti, Cankarjeva založba, 1994.</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Martin, M. W.: Futurist Art and Theory, Hacker Art Books, New York, 1978.</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Raunig, G.; Art and Revolution: Transversal Activism in the Long 20th Century, MIT Press, 2007.</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Richter, H.: Dada: art and anti art, London, Thames and Hudson, 1978 (1997).</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 xml:space="preserve">Vovk, M.: Umetnost in uničevanje: problematika percepcije sodobnih umetniških praks v primeru gorečega križa. </w:t>
            </w:r>
            <w:r w:rsidRPr="00975E70">
              <w:rPr>
                <w:rFonts w:asciiTheme="majorHAnsi" w:hAnsiTheme="majorHAnsi" w:cstheme="majorHAnsi"/>
                <w:i/>
                <w:iCs/>
              </w:rPr>
              <w:t xml:space="preserve">Ann, Ser. hist. </w:t>
            </w:r>
            <w:proofErr w:type="gramStart"/>
            <w:r w:rsidRPr="00975E70">
              <w:rPr>
                <w:rFonts w:asciiTheme="majorHAnsi" w:hAnsiTheme="majorHAnsi" w:cstheme="majorHAnsi"/>
                <w:i/>
                <w:iCs/>
              </w:rPr>
              <w:t>sociol.</w:t>
            </w:r>
            <w:r w:rsidRPr="00975E70">
              <w:rPr>
                <w:rFonts w:asciiTheme="majorHAnsi" w:hAnsiTheme="majorHAnsi" w:cstheme="majorHAnsi"/>
              </w:rPr>
              <w:t>,</w:t>
            </w:r>
            <w:proofErr w:type="gramEnd"/>
            <w:r w:rsidRPr="00975E70">
              <w:rPr>
                <w:rFonts w:asciiTheme="majorHAnsi" w:hAnsiTheme="majorHAnsi" w:cstheme="majorHAnsi"/>
              </w:rPr>
              <w:t xml:space="preserve"> 2006, letn. </w:t>
            </w:r>
            <w:proofErr w:type="gramStart"/>
            <w:r w:rsidRPr="00975E70">
              <w:rPr>
                <w:rFonts w:asciiTheme="majorHAnsi" w:hAnsiTheme="majorHAnsi" w:cstheme="majorHAnsi"/>
              </w:rPr>
              <w:t>16</w:t>
            </w:r>
            <w:proofErr w:type="gramEnd"/>
            <w:r w:rsidRPr="00975E70">
              <w:rPr>
                <w:rFonts w:asciiTheme="majorHAnsi" w:hAnsiTheme="majorHAnsi" w:cstheme="majorHAnsi"/>
              </w:rPr>
              <w:t xml:space="preserve">, št. </w:t>
            </w:r>
            <w:proofErr w:type="gramStart"/>
            <w:r w:rsidRPr="00975E70">
              <w:rPr>
                <w:rFonts w:asciiTheme="majorHAnsi" w:hAnsiTheme="majorHAnsi" w:cstheme="majorHAnsi"/>
              </w:rPr>
              <w:t>1</w:t>
            </w:r>
            <w:proofErr w:type="gramEnd"/>
            <w:r w:rsidRPr="00975E70">
              <w:rPr>
                <w:rFonts w:asciiTheme="majorHAnsi" w:hAnsiTheme="majorHAnsi" w:cstheme="majorHAnsi"/>
              </w:rPr>
              <w:t>, str. 115-132.</w:t>
            </w:r>
          </w:p>
          <w:p w:rsidR="003F44BC" w:rsidRPr="00975E70" w:rsidRDefault="003F44BC" w:rsidP="003F44BC">
            <w:pPr>
              <w:pStyle w:val="Odstavekseznama"/>
              <w:numPr>
                <w:ilvl w:val="0"/>
                <w:numId w:val="5"/>
              </w:numPr>
              <w:spacing w:line="264" w:lineRule="auto"/>
              <w:rPr>
                <w:rFonts w:asciiTheme="majorHAnsi" w:hAnsiTheme="majorHAnsi" w:cstheme="majorHAnsi"/>
              </w:rPr>
            </w:pPr>
            <w:r w:rsidRPr="00975E70">
              <w:rPr>
                <w:rFonts w:asciiTheme="majorHAnsi" w:hAnsiTheme="majorHAnsi" w:cstheme="majorHAnsi"/>
              </w:rPr>
              <w:t xml:space="preserve">Vovk, M.: Utopične vizije, paralelne strategije, privilegirane </w:t>
            </w:r>
            <w:proofErr w:type="gramStart"/>
            <w:r w:rsidRPr="00975E70">
              <w:rPr>
                <w:rFonts w:asciiTheme="majorHAnsi" w:hAnsiTheme="majorHAnsi" w:cstheme="majorHAnsi"/>
              </w:rPr>
              <w:t>taktike :</w:t>
            </w:r>
            <w:proofErr w:type="gramEnd"/>
            <w:r w:rsidRPr="00975E70">
              <w:rPr>
                <w:rFonts w:asciiTheme="majorHAnsi" w:hAnsiTheme="majorHAnsi" w:cstheme="majorHAnsi"/>
              </w:rPr>
              <w:t xml:space="preserve"> trije primeri angažiranih praks v sodobni slovenski umetnosti - Tadej Pogačar, Marjetica Potrč, Franc Purg &amp; Sara Heitlinger. V: </w:t>
            </w:r>
          </w:p>
          <w:p w:rsidR="003F44BC" w:rsidRPr="00975E70" w:rsidRDefault="003F44BC" w:rsidP="003F44BC">
            <w:pPr>
              <w:pStyle w:val="Odstavekseznama"/>
              <w:numPr>
                <w:ilvl w:val="0"/>
                <w:numId w:val="5"/>
              </w:numPr>
              <w:spacing w:line="264" w:lineRule="auto"/>
              <w:rPr>
                <w:rFonts w:asciiTheme="majorHAnsi" w:hAnsiTheme="majorHAnsi" w:cstheme="majorHAnsi"/>
                <w:lang w:val="it-IT"/>
              </w:rPr>
            </w:pPr>
            <w:r w:rsidRPr="00975E70">
              <w:rPr>
                <w:rFonts w:asciiTheme="majorHAnsi" w:hAnsiTheme="majorHAnsi" w:cstheme="majorHAnsi"/>
                <w:lang w:val="it-IT"/>
              </w:rPr>
              <w:t>Zabel, I.: Eseji I in II, Založba *cf, Ljubljana 2006 – 2008.</w:t>
            </w:r>
          </w:p>
        </w:tc>
      </w:tr>
      <w:tr w:rsidR="003F44BC" w:rsidRPr="00975E70" w:rsidTr="0022710B">
        <w:trPr>
          <w:trHeight w:val="73"/>
        </w:trPr>
        <w:tc>
          <w:tcPr>
            <w:tcW w:w="4717" w:type="dxa"/>
            <w:gridSpan w:val="2"/>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bCs/>
                <w:sz w:val="22"/>
                <w:szCs w:val="22"/>
                <w:lang w:val="it-IT"/>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Cilji in kompetence:</w:t>
            </w:r>
          </w:p>
        </w:tc>
        <w:tc>
          <w:tcPr>
            <w:tcW w:w="152" w:type="dxa"/>
            <w:gridSpan w:val="2"/>
          </w:tcPr>
          <w:p w:rsidR="003F44BC" w:rsidRPr="00975E70" w:rsidRDefault="003F44BC" w:rsidP="0022710B">
            <w:pPr>
              <w:spacing w:line="264" w:lineRule="auto"/>
              <w:rPr>
                <w:rFonts w:asciiTheme="majorHAnsi" w:hAnsiTheme="majorHAnsi" w:cstheme="majorHAnsi"/>
                <w:b/>
                <w:sz w:val="22"/>
                <w:szCs w:val="22"/>
              </w:rPr>
            </w:pPr>
          </w:p>
        </w:tc>
        <w:tc>
          <w:tcPr>
            <w:tcW w:w="4707" w:type="dxa"/>
            <w:gridSpan w:val="3"/>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3F44BC" w:rsidRPr="00975E70"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Cilji:</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Predmet je namenjen spoznavanju zgodovine moderne umetnosti v širšem zgodovinskem pomenu, od predhodnikov moderne paradigme umetnosti (neoklasicističnih, romantičnih in realističnih tendenc) do začetnikov modernizma v ožjem pomenu (impresionizem) ter razvoja v številnih oblikah stilnih in vsebinskih »–izmov«, ki tvorijo jedro kulturne dediščine 20. </w:t>
            </w:r>
            <w:proofErr w:type="gramStart"/>
            <w:r w:rsidRPr="00975E70">
              <w:rPr>
                <w:rFonts w:asciiTheme="majorHAnsi" w:hAnsiTheme="majorHAnsi" w:cstheme="majorHAnsi"/>
                <w:sz w:val="22"/>
                <w:szCs w:val="22"/>
              </w:rPr>
              <w:t>stoletja</w:t>
            </w:r>
            <w:proofErr w:type="gramEnd"/>
            <w:r w:rsidRPr="00975E70">
              <w:rPr>
                <w:rFonts w:asciiTheme="majorHAnsi" w:hAnsiTheme="majorHAnsi" w:cstheme="majorHAnsi"/>
                <w:sz w:val="22"/>
                <w:szCs w:val="22"/>
              </w:rPr>
              <w:t xml:space="preserve"> v Evropi in odsevajo tudi v slovenski likovni tvornosti.</w:t>
            </w:r>
          </w:p>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Kompetence:</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Poleg zgodovinskega pregleda bodo slušatelji predmeta seznanjeni z novejšimi metodološkimi in teoretičnimi interpretativnimi orodji, ki so se razvijala vzporedno z razvojem moderne umetnosti in so ključna za primerno epistemološko dojemanje interpretacije ter opredeljevanja do umetnostne dediščine modernizma (npr. feministična, psihoanalitična, strukturalistična in poststrukturalistična, družbeno-kontekstualna metoda itd.). Različne metodološke prijeme bodo študentje praktično preskušali v seminarskih nalogah, v katerih bodo morali opredeliti, razložiti in interpretirati izbrano umetniško delo v svojem širšem zgodovinskem, družbenem, političnem (spolnem, psihoanalitičnem itd.) kontekstu. Preko obravnave v tako osmišljenem problemskem fokusu bodo slušatelji spoznavali umetnostno dediščino moderne </w:t>
            </w:r>
            <w:proofErr w:type="gramStart"/>
            <w:r w:rsidRPr="00975E70">
              <w:rPr>
                <w:rFonts w:asciiTheme="majorHAnsi" w:hAnsiTheme="majorHAnsi" w:cstheme="majorHAnsi"/>
                <w:sz w:val="22"/>
                <w:szCs w:val="22"/>
              </w:rPr>
              <w:t>dobe  v</w:t>
            </w:r>
            <w:proofErr w:type="gramEnd"/>
            <w:r w:rsidRPr="00975E70">
              <w:rPr>
                <w:rFonts w:asciiTheme="majorHAnsi" w:hAnsiTheme="majorHAnsi" w:cstheme="majorHAnsi"/>
                <w:sz w:val="22"/>
                <w:szCs w:val="22"/>
              </w:rPr>
              <w:t xml:space="preserve"> najširšem kontekstu in bodo metodološko opremljeni za smiselno sintezo posredovanih podatkov.  </w:t>
            </w:r>
          </w:p>
        </w:tc>
        <w:tc>
          <w:tcPr>
            <w:tcW w:w="152" w:type="dxa"/>
            <w:gridSpan w:val="2"/>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p>
        </w:tc>
        <w:tc>
          <w:tcPr>
            <w:tcW w:w="4707" w:type="dxa"/>
            <w:gridSpan w:val="3"/>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Objectives:</w:t>
            </w:r>
          </w:p>
          <w:p w:rsidR="003F44BC" w:rsidRPr="00975E70" w:rsidRDefault="003F44BC" w:rsidP="0022710B">
            <w:pPr>
              <w:spacing w:line="264" w:lineRule="auto"/>
              <w:rPr>
                <w:rFonts w:asciiTheme="majorHAnsi" w:hAnsiTheme="majorHAnsi" w:cstheme="majorHAnsi"/>
                <w:sz w:val="22"/>
                <w:szCs w:val="22"/>
              </w:rPr>
            </w:pPr>
            <w:proofErr w:type="gramStart"/>
            <w:r w:rsidRPr="00975E70">
              <w:rPr>
                <w:rFonts w:asciiTheme="majorHAnsi" w:hAnsiTheme="majorHAnsi" w:cstheme="majorHAnsi"/>
                <w:sz w:val="22"/>
                <w:szCs w:val="22"/>
              </w:rPr>
              <w:t>The course is aimed at learning about the history of modern art in a broader historical sense, from the precursors of the modern paradigm of art (neoclassical, romantic and realistic tendencies) to the pioneers of modernism in a narrower sense (Impressionism) and the development of the many forms of stylistic and conceptual "-isms" which form the core of the cultural heritage of the 20</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Europe and are also reflected in Slovenian artistic creativity.</w:t>
            </w:r>
            <w:proofErr w:type="gramEnd"/>
          </w:p>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Competences:</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In addition to the historical overview, the students will become familiar with recent methodological and theoretical interpretive tools that have developed in parallel with the development of modern art and are crucial for an adequate epistemological understanding of interpretation and definition of the artistic heritage of modernism (e.g., feminist, psychoanalytic, structuralist and post-structuralist, socio-contextual method, etc.). The students will put the different methodological approaches to the test in practical seminar assignments, in which they will have to define, explain and interpret a selected work of art in its broader historical, social, political (gender, psychoanalytic, etc.) context. Through the treatment of such a well-defined problem focus, the students will learn about the art heritage of the modern era in its broadest context and will be methodologically equipped to synthesise the data provided in a meaningful way.</w:t>
            </w:r>
          </w:p>
        </w:tc>
      </w:tr>
      <w:tr w:rsidR="003F44BC" w:rsidRPr="00975E70" w:rsidTr="0022710B">
        <w:trPr>
          <w:trHeight w:val="117"/>
        </w:trPr>
        <w:tc>
          <w:tcPr>
            <w:tcW w:w="4727" w:type="dxa"/>
            <w:gridSpan w:val="3"/>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Predvideni študijski rezultati:</w:t>
            </w:r>
          </w:p>
        </w:tc>
        <w:tc>
          <w:tcPr>
            <w:tcW w:w="142" w:type="dxa"/>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p>
        </w:tc>
        <w:tc>
          <w:tcPr>
            <w:tcW w:w="4707" w:type="dxa"/>
            <w:gridSpan w:val="3"/>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3F44BC" w:rsidRPr="00975E70" w:rsidTr="0022710B">
        <w:trPr>
          <w:trHeight w:val="680"/>
        </w:trPr>
        <w:tc>
          <w:tcPr>
            <w:tcW w:w="4727" w:type="dxa"/>
            <w:gridSpan w:val="3"/>
            <w:tcBorders>
              <w:top w:val="single" w:sz="4" w:space="0" w:color="auto"/>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Znanje in razumevanje:</w:t>
            </w:r>
          </w:p>
          <w:p w:rsidR="003F44BC" w:rsidRPr="00975E70" w:rsidRDefault="003F44BC"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 xml:space="preserve">Študent pridobi temeljna spoznanja o delu in konceptih ter metodah umetnostno zgodovinskih raziskav ter pomenu izbranih umetniških del. Nauči se uporabljati osnovna orodja zbiranja, analize in interpretacije gradiva, pa tudi možnosti kritične uporabe rezultatov za samostojno kreativno dejavnost. </w:t>
            </w:r>
          </w:p>
          <w:p w:rsidR="003F44BC" w:rsidRPr="00975E70" w:rsidRDefault="003F44BC" w:rsidP="0022710B">
            <w:pPr>
              <w:spacing w:line="264" w:lineRule="auto"/>
              <w:rPr>
                <w:rFonts w:asciiTheme="majorHAnsi" w:hAnsiTheme="majorHAnsi" w:cstheme="majorHAnsi"/>
                <w:b/>
                <w:bCs/>
                <w:sz w:val="22"/>
                <w:szCs w:val="22"/>
              </w:rPr>
            </w:pPr>
          </w:p>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Razumevanje:</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bCs/>
                <w:sz w:val="22"/>
                <w:szCs w:val="22"/>
              </w:rPr>
              <w:t>Slušatelji predmeta se naučijo razumevati in interpretirati posamično umetniško delo v njegovem kompleksnem družbeno-zgodovinskem, nazorskem in idejnem kontekstu, ki je povezan po eni strani s časom njegovega nastanka, po drugi strani pa zgodovinska oddaljenost omogoča kritično distanco in razkrivanje investicije drugotnih, kasnejših pomenov (naknadni pomen dela na osnovi njegove recepcije in vpliva na kasnejši umetniški razvoj).</w:t>
            </w:r>
          </w:p>
        </w:tc>
        <w:tc>
          <w:tcPr>
            <w:tcW w:w="142" w:type="dxa"/>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sz w:val="22"/>
                <w:szCs w:val="22"/>
              </w:rPr>
            </w:pPr>
          </w:p>
        </w:tc>
        <w:tc>
          <w:tcPr>
            <w:tcW w:w="4707" w:type="dxa"/>
            <w:gridSpan w:val="3"/>
            <w:tcBorders>
              <w:top w:val="single" w:sz="4" w:space="0" w:color="auto"/>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Knowledge and understanding:</w:t>
            </w:r>
          </w:p>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student acquires a basic understanding of the work and concepts and methods of art historical research and the significance of selected works of art. The student learns to use the basic tools of collecting, analysing and interpreting material, as well as the possibilities of critically applying the results for independent creative activity. </w:t>
            </w:r>
          </w:p>
          <w:p w:rsidR="003F44BC" w:rsidRPr="00975E70" w:rsidRDefault="003F44BC" w:rsidP="0022710B">
            <w:pPr>
              <w:spacing w:line="264" w:lineRule="auto"/>
              <w:rPr>
                <w:rFonts w:asciiTheme="majorHAnsi" w:hAnsiTheme="majorHAnsi" w:cstheme="majorHAnsi"/>
                <w:sz w:val="22"/>
                <w:szCs w:val="22"/>
              </w:rPr>
            </w:pPr>
          </w:p>
          <w:p w:rsidR="003F44BC" w:rsidRPr="00975E70" w:rsidRDefault="003F44BC"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Understanding:</w:t>
            </w:r>
          </w:p>
          <w:p w:rsidR="003F44BC" w:rsidRPr="00975E70" w:rsidRDefault="003F44BC" w:rsidP="0022710B">
            <w:pPr>
              <w:spacing w:line="264" w:lineRule="auto"/>
              <w:rPr>
                <w:rFonts w:asciiTheme="majorHAnsi" w:hAnsiTheme="majorHAnsi" w:cstheme="majorHAnsi"/>
                <w:sz w:val="22"/>
                <w:szCs w:val="22"/>
              </w:rPr>
            </w:pPr>
            <w:proofErr w:type="gramStart"/>
            <w:r w:rsidRPr="00975E70">
              <w:rPr>
                <w:rFonts w:asciiTheme="majorHAnsi" w:hAnsiTheme="majorHAnsi" w:cstheme="majorHAnsi"/>
                <w:sz w:val="22"/>
                <w:szCs w:val="22"/>
              </w:rPr>
              <w:t>The students learn to understand and interpret an individual work of art in its complex socio-historical, attitudinal and ideological context, which is connected, on the one hand, to the time of its creation, while, on the other hand, historical distance allows for critical distance and the revelation of the investment of secondary, later meanings (the subsequent meaning of the work on the basis of its reception and its influence on later artistic development).</w:t>
            </w:r>
            <w:proofErr w:type="gramEnd"/>
          </w:p>
        </w:tc>
      </w:tr>
      <w:tr w:rsidR="003F44BC" w:rsidRPr="00975E70" w:rsidTr="0022710B">
        <w:trPr>
          <w:trHeight w:val="80"/>
        </w:trPr>
        <w:tc>
          <w:tcPr>
            <w:tcW w:w="4727" w:type="dxa"/>
            <w:gridSpan w:val="3"/>
            <w:tcBorders>
              <w:top w:val="nil"/>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b/>
                <w:sz w:val="22"/>
                <w:szCs w:val="22"/>
              </w:rPr>
            </w:pPr>
          </w:p>
        </w:tc>
        <w:tc>
          <w:tcPr>
            <w:tcW w:w="4707" w:type="dxa"/>
            <w:gridSpan w:val="3"/>
            <w:tcBorders>
              <w:top w:val="nil"/>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tc>
      </w:tr>
      <w:tr w:rsidR="003F44BC" w:rsidRPr="00975E70" w:rsidTr="0022710B">
        <w:tc>
          <w:tcPr>
            <w:tcW w:w="4727" w:type="dxa"/>
            <w:gridSpan w:val="3"/>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Metode poučevanja in učenja:</w:t>
            </w:r>
          </w:p>
        </w:tc>
        <w:tc>
          <w:tcPr>
            <w:tcW w:w="142" w:type="dxa"/>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p>
        </w:tc>
        <w:tc>
          <w:tcPr>
            <w:tcW w:w="4707" w:type="dxa"/>
            <w:gridSpan w:val="3"/>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3F44BC" w:rsidRPr="00975E70"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Predavanja</w:t>
            </w:r>
          </w:p>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Seminar (i)</w:t>
            </w:r>
          </w:p>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Predstavitve</w:t>
            </w:r>
          </w:p>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Individualne in skupinske vaje</w:t>
            </w:r>
          </w:p>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Pisni in ustni izpit</w:t>
            </w:r>
          </w:p>
          <w:p w:rsidR="003F44BC" w:rsidRPr="00975E70" w:rsidRDefault="003F44BC"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Neodvisne raziskave</w:t>
            </w:r>
          </w:p>
        </w:tc>
        <w:tc>
          <w:tcPr>
            <w:tcW w:w="142" w:type="dxa"/>
            <w:tcBorders>
              <w:top w:val="nil"/>
              <w:left w:val="single" w:sz="4" w:space="0" w:color="auto"/>
              <w:bottom w:val="nil"/>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p>
        </w:tc>
        <w:tc>
          <w:tcPr>
            <w:tcW w:w="4707" w:type="dxa"/>
            <w:gridSpan w:val="3"/>
            <w:tcBorders>
              <w:top w:val="single" w:sz="4" w:space="0" w:color="auto"/>
              <w:left w:val="single" w:sz="4" w:space="0" w:color="auto"/>
              <w:bottom w:val="single" w:sz="4" w:space="0" w:color="auto"/>
              <w:right w:val="single" w:sz="4" w:space="0" w:color="auto"/>
            </w:tcBorders>
          </w:tcPr>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Lectures</w:t>
            </w:r>
          </w:p>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Seminar (s)</w:t>
            </w:r>
          </w:p>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Presentations</w:t>
            </w:r>
          </w:p>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Individual and group exercises</w:t>
            </w:r>
          </w:p>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Written and oral exams</w:t>
            </w:r>
          </w:p>
          <w:p w:rsidR="003F44BC" w:rsidRPr="00975E70" w:rsidRDefault="003F44BC" w:rsidP="003F44BC">
            <w:pPr>
              <w:numPr>
                <w:ilvl w:val="0"/>
                <w:numId w:val="7"/>
              </w:numPr>
              <w:spacing w:line="264" w:lineRule="auto"/>
              <w:rPr>
                <w:rFonts w:asciiTheme="majorHAnsi" w:hAnsiTheme="majorHAnsi" w:cstheme="majorHAnsi"/>
                <w:sz w:val="22"/>
                <w:szCs w:val="22"/>
              </w:rPr>
            </w:pPr>
            <w:r w:rsidRPr="00975E70">
              <w:rPr>
                <w:rFonts w:asciiTheme="majorHAnsi" w:hAnsiTheme="majorHAnsi" w:cstheme="majorHAnsi"/>
                <w:sz w:val="22"/>
                <w:szCs w:val="22"/>
              </w:rPr>
              <w:t>Independent research</w:t>
            </w:r>
          </w:p>
        </w:tc>
      </w:tr>
      <w:tr w:rsidR="003F44BC" w:rsidRPr="00975E70" w:rsidTr="0022710B">
        <w:trPr>
          <w:gridAfter w:val="1"/>
          <w:wAfter w:w="10" w:type="dxa"/>
        </w:trPr>
        <w:tc>
          <w:tcPr>
            <w:tcW w:w="4020" w:type="dxa"/>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Načini ocenjevanja:</w:t>
            </w:r>
          </w:p>
        </w:tc>
        <w:tc>
          <w:tcPr>
            <w:tcW w:w="1256" w:type="dxa"/>
            <w:gridSpan w:val="4"/>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Delež (v %) /</w:t>
            </w: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sz w:val="22"/>
                <w:szCs w:val="22"/>
              </w:rPr>
              <w:t>Share (in %)</w:t>
            </w:r>
          </w:p>
        </w:tc>
        <w:tc>
          <w:tcPr>
            <w:tcW w:w="4290" w:type="dxa"/>
            <w:tcBorders>
              <w:top w:val="nil"/>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3F44BC" w:rsidRPr="00975E70" w:rsidTr="0022710B">
        <w:trPr>
          <w:gridAfter w:val="1"/>
          <w:wAfter w:w="10" w:type="dxa"/>
          <w:trHeight w:val="65"/>
        </w:trPr>
        <w:tc>
          <w:tcPr>
            <w:tcW w:w="4020" w:type="dxa"/>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ind w:left="360"/>
              <w:rPr>
                <w:rFonts w:asciiTheme="majorHAnsi" w:hAnsiTheme="majorHAnsi" w:cstheme="majorHAnsi"/>
                <w:sz w:val="22"/>
                <w:szCs w:val="22"/>
              </w:rPr>
            </w:pPr>
          </w:p>
          <w:p w:rsidR="003F44BC" w:rsidRPr="00975E70" w:rsidRDefault="003F44BC" w:rsidP="0022710B">
            <w:pPr>
              <w:spacing w:line="264" w:lineRule="auto"/>
              <w:ind w:left="360"/>
              <w:rPr>
                <w:rFonts w:asciiTheme="majorHAnsi" w:hAnsiTheme="majorHAnsi" w:cstheme="majorHAnsi"/>
                <w:sz w:val="22"/>
                <w:szCs w:val="22"/>
              </w:rPr>
            </w:pPr>
          </w:p>
          <w:p w:rsidR="003F44BC" w:rsidRPr="00975E70" w:rsidRDefault="003F44BC" w:rsidP="0022710B">
            <w:pPr>
              <w:numPr>
                <w:ilvl w:val="0"/>
                <w:numId w:val="1"/>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Praktične vaje/ izkaz dela </w:t>
            </w:r>
          </w:p>
          <w:p w:rsidR="003F44BC" w:rsidRPr="00975E70" w:rsidRDefault="003F44BC" w:rsidP="0022710B">
            <w:pPr>
              <w:numPr>
                <w:ilvl w:val="0"/>
                <w:numId w:val="1"/>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Raziskave (evidenca) </w:t>
            </w:r>
          </w:p>
          <w:p w:rsidR="003F44BC" w:rsidRPr="00975E70" w:rsidRDefault="003F44BC" w:rsidP="0022710B">
            <w:pPr>
              <w:numPr>
                <w:ilvl w:val="0"/>
                <w:numId w:val="1"/>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Pisni izpit </w:t>
            </w:r>
          </w:p>
        </w:tc>
        <w:tc>
          <w:tcPr>
            <w:tcW w:w="1256" w:type="dxa"/>
            <w:gridSpan w:val="4"/>
            <w:tcBorders>
              <w:top w:val="single" w:sz="4" w:space="0" w:color="auto"/>
              <w:left w:val="single" w:sz="4" w:space="0" w:color="auto"/>
              <w:bottom w:val="single" w:sz="4" w:space="0" w:color="auto"/>
              <w:right w:val="single" w:sz="4" w:space="0" w:color="auto"/>
            </w:tcBorders>
          </w:tcPr>
          <w:p w:rsidR="003F44BC" w:rsidRPr="00975E70" w:rsidRDefault="003F44BC" w:rsidP="0022710B">
            <w:pPr>
              <w:pStyle w:val="Navadensplet"/>
              <w:spacing w:before="0" w:beforeAutospacing="0" w:after="0" w:afterAutospacing="0" w:line="264" w:lineRule="auto"/>
              <w:rPr>
                <w:rFonts w:asciiTheme="majorHAnsi" w:hAnsiTheme="majorHAnsi" w:cstheme="majorHAnsi"/>
                <w:sz w:val="22"/>
                <w:szCs w:val="22"/>
              </w:rPr>
            </w:pPr>
          </w:p>
          <w:p w:rsidR="003F44BC" w:rsidRPr="00975E70" w:rsidRDefault="003F44BC" w:rsidP="0022710B">
            <w:pPr>
              <w:pStyle w:val="Navadensplet"/>
              <w:spacing w:before="0" w:beforeAutospacing="0" w:after="0" w:afterAutospacing="0" w:line="264" w:lineRule="auto"/>
              <w:rPr>
                <w:rFonts w:asciiTheme="majorHAnsi" w:hAnsiTheme="majorHAnsi" w:cstheme="majorHAnsi"/>
                <w:sz w:val="22"/>
                <w:szCs w:val="22"/>
              </w:rPr>
            </w:pPr>
          </w:p>
          <w:p w:rsidR="003F44BC" w:rsidRPr="00975E70" w:rsidRDefault="003F44BC"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20%</w:t>
            </w:r>
          </w:p>
          <w:p w:rsidR="003F44BC" w:rsidRPr="00975E70" w:rsidRDefault="003F44BC"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20%</w:t>
            </w:r>
          </w:p>
          <w:p w:rsidR="003F44BC" w:rsidRPr="00975E70" w:rsidRDefault="003F44BC"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60%</w:t>
            </w:r>
          </w:p>
        </w:tc>
        <w:tc>
          <w:tcPr>
            <w:tcW w:w="4290" w:type="dxa"/>
            <w:tcBorders>
              <w:top w:val="single" w:sz="4" w:space="0" w:color="auto"/>
              <w:left w:val="single" w:sz="4" w:space="0" w:color="auto"/>
              <w:bottom w:val="single" w:sz="4" w:space="0" w:color="auto"/>
              <w:right w:val="single" w:sz="4" w:space="0" w:color="auto"/>
            </w:tcBorders>
          </w:tcPr>
          <w:p w:rsidR="003F44BC" w:rsidRPr="00975E70" w:rsidRDefault="003F44BC"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3F44BC" w:rsidRPr="00975E70" w:rsidRDefault="003F44BC" w:rsidP="0022710B">
            <w:pPr>
              <w:spacing w:line="264" w:lineRule="auto"/>
              <w:ind w:left="390"/>
              <w:rPr>
                <w:rFonts w:asciiTheme="majorHAnsi" w:hAnsiTheme="majorHAnsi" w:cstheme="majorHAnsi"/>
                <w:bCs/>
                <w:sz w:val="22"/>
                <w:szCs w:val="22"/>
              </w:rPr>
            </w:pPr>
          </w:p>
          <w:p w:rsidR="003F44BC" w:rsidRPr="00975E70" w:rsidRDefault="003F44BC" w:rsidP="003F44BC">
            <w:pPr>
              <w:numPr>
                <w:ilvl w:val="0"/>
                <w:numId w:val="8"/>
              </w:numPr>
              <w:spacing w:line="264" w:lineRule="auto"/>
              <w:ind w:left="390" w:hanging="270"/>
              <w:rPr>
                <w:rFonts w:asciiTheme="majorHAnsi" w:hAnsiTheme="majorHAnsi" w:cstheme="majorHAnsi"/>
                <w:bCs/>
                <w:sz w:val="22"/>
                <w:szCs w:val="22"/>
              </w:rPr>
            </w:pPr>
            <w:r w:rsidRPr="00975E70">
              <w:rPr>
                <w:rFonts w:asciiTheme="majorHAnsi" w:hAnsiTheme="majorHAnsi" w:cstheme="majorHAnsi"/>
                <w:bCs/>
                <w:sz w:val="22"/>
                <w:szCs w:val="22"/>
              </w:rPr>
              <w:t xml:space="preserve">Practical exercises/ demonstration of work </w:t>
            </w:r>
          </w:p>
          <w:p w:rsidR="003F44BC" w:rsidRPr="00975E70" w:rsidRDefault="003F44BC" w:rsidP="003F44BC">
            <w:pPr>
              <w:numPr>
                <w:ilvl w:val="0"/>
                <w:numId w:val="8"/>
              </w:numPr>
              <w:spacing w:line="264" w:lineRule="auto"/>
              <w:ind w:left="390" w:hanging="270"/>
              <w:rPr>
                <w:rFonts w:asciiTheme="majorHAnsi" w:hAnsiTheme="majorHAnsi" w:cstheme="majorHAnsi"/>
                <w:bCs/>
                <w:sz w:val="22"/>
                <w:szCs w:val="22"/>
              </w:rPr>
            </w:pPr>
            <w:r w:rsidRPr="00975E70">
              <w:rPr>
                <w:rFonts w:asciiTheme="majorHAnsi" w:hAnsiTheme="majorHAnsi" w:cstheme="majorHAnsi"/>
                <w:bCs/>
                <w:sz w:val="22"/>
                <w:szCs w:val="22"/>
              </w:rPr>
              <w:t xml:space="preserve">Research (records) </w:t>
            </w:r>
          </w:p>
          <w:p w:rsidR="003F44BC" w:rsidRPr="00975E70" w:rsidRDefault="003F44BC" w:rsidP="003F44BC">
            <w:pPr>
              <w:numPr>
                <w:ilvl w:val="0"/>
                <w:numId w:val="8"/>
              </w:numPr>
              <w:spacing w:line="264" w:lineRule="auto"/>
              <w:ind w:left="390" w:hanging="270"/>
              <w:rPr>
                <w:rFonts w:asciiTheme="majorHAnsi" w:hAnsiTheme="majorHAnsi" w:cstheme="majorHAnsi"/>
                <w:b/>
                <w:sz w:val="22"/>
                <w:szCs w:val="22"/>
              </w:rPr>
            </w:pPr>
            <w:r w:rsidRPr="00975E70">
              <w:rPr>
                <w:rFonts w:asciiTheme="majorHAnsi" w:hAnsiTheme="majorHAnsi" w:cstheme="majorHAnsi"/>
                <w:bCs/>
                <w:sz w:val="22"/>
                <w:szCs w:val="22"/>
              </w:rPr>
              <w:t>Written exam</w:t>
            </w:r>
          </w:p>
        </w:tc>
      </w:tr>
      <w:tr w:rsidR="003F44BC" w:rsidRPr="00975E70" w:rsidTr="0022710B">
        <w:tc>
          <w:tcPr>
            <w:tcW w:w="9576" w:type="dxa"/>
            <w:gridSpan w:val="7"/>
            <w:tcBorders>
              <w:top w:val="single" w:sz="4" w:space="0" w:color="auto"/>
              <w:left w:val="nil"/>
              <w:bottom w:val="single" w:sz="4" w:space="0" w:color="auto"/>
              <w:right w:val="nil"/>
            </w:tcBorders>
          </w:tcPr>
          <w:p w:rsidR="003F44BC" w:rsidRPr="00975E70" w:rsidRDefault="003F44BC" w:rsidP="0022710B">
            <w:pPr>
              <w:spacing w:line="264" w:lineRule="auto"/>
              <w:rPr>
                <w:rFonts w:asciiTheme="majorHAnsi" w:hAnsiTheme="majorHAnsi" w:cstheme="majorHAnsi"/>
                <w:b/>
                <w:sz w:val="22"/>
                <w:szCs w:val="22"/>
              </w:rPr>
            </w:pPr>
          </w:p>
          <w:p w:rsidR="003F44BC" w:rsidRPr="00975E70" w:rsidRDefault="003F44BC"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 xml:space="preserve">Reference nosilca / Lecturer's references: </w:t>
            </w:r>
          </w:p>
        </w:tc>
      </w:tr>
      <w:tr w:rsidR="003F44BC" w:rsidRPr="003F44BC" w:rsidTr="0022710B">
        <w:tc>
          <w:tcPr>
            <w:tcW w:w="9576" w:type="dxa"/>
            <w:gridSpan w:val="7"/>
            <w:tcBorders>
              <w:top w:val="single" w:sz="4" w:space="0" w:color="auto"/>
              <w:left w:val="single" w:sz="4" w:space="0" w:color="auto"/>
              <w:bottom w:val="single" w:sz="4" w:space="0" w:color="auto"/>
              <w:right w:val="single" w:sz="4" w:space="0" w:color="auto"/>
            </w:tcBorders>
          </w:tcPr>
          <w:p w:rsidR="003F44BC" w:rsidRPr="00975E70" w:rsidRDefault="003F44BC" w:rsidP="0022710B">
            <w:pPr>
              <w:pStyle w:val="Brezrazmikov"/>
              <w:spacing w:line="264" w:lineRule="auto"/>
              <w:rPr>
                <w:rFonts w:asciiTheme="majorHAnsi" w:hAnsiTheme="majorHAnsi" w:cstheme="majorHAnsi"/>
                <w:b/>
                <w:lang w:val="en-GB" w:eastAsia="sl-SI"/>
              </w:rPr>
            </w:pPr>
            <w:r w:rsidRPr="00975E70">
              <w:rPr>
                <w:rFonts w:asciiTheme="majorHAnsi" w:hAnsiTheme="majorHAnsi" w:cstheme="majorHAnsi"/>
                <w:b/>
                <w:lang w:val="en-GB" w:eastAsia="sl-SI"/>
              </w:rPr>
              <w:t>Monografije</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LUBŠINA TUŠEK, Marija. Na stičišču svetov = </w:t>
            </w:r>
            <w:proofErr w:type="gramStart"/>
            <w:r w:rsidRPr="00975E70">
              <w:rPr>
                <w:rFonts w:asciiTheme="majorHAnsi" w:hAnsiTheme="majorHAnsi" w:cstheme="majorHAnsi"/>
                <w:lang w:val="en-GB" w:eastAsia="sl-SI"/>
              </w:rPr>
              <w:t>On</w:t>
            </w:r>
            <w:proofErr w:type="gramEnd"/>
            <w:r w:rsidRPr="00975E70">
              <w:rPr>
                <w:rFonts w:asciiTheme="majorHAnsi" w:hAnsiTheme="majorHAnsi" w:cstheme="majorHAnsi"/>
                <w:lang w:val="en-GB" w:eastAsia="sl-SI"/>
              </w:rPr>
              <w:t xml:space="preserve"> the crossroad of worlds. Koper: University of Primorska Press, 2016.</w:t>
            </w:r>
          </w:p>
          <w:p w:rsidR="003F44BC" w:rsidRPr="00975E70" w:rsidRDefault="003F44BC" w:rsidP="003F44BC">
            <w:pPr>
              <w:pStyle w:val="Brezrazmikov"/>
              <w:numPr>
                <w:ilvl w:val="0"/>
                <w:numId w:val="6"/>
              </w:numPr>
              <w:spacing w:line="264" w:lineRule="auto"/>
              <w:rPr>
                <w:rFonts w:asciiTheme="majorHAnsi" w:hAnsiTheme="majorHAnsi" w:cstheme="majorHAnsi"/>
                <w:lang w:val="it-IT" w:eastAsia="sl-SI"/>
              </w:rPr>
            </w:pPr>
            <w:r w:rsidRPr="00975E70">
              <w:rPr>
                <w:rFonts w:asciiTheme="majorHAnsi" w:hAnsiTheme="majorHAnsi" w:cstheme="majorHAnsi"/>
                <w:lang w:val="en-GB" w:eastAsia="sl-SI"/>
              </w:rPr>
              <w:t xml:space="preserve">KAVUR, Boris. Devet esejev o (skoraj) človeški podobi. </w:t>
            </w:r>
            <w:r w:rsidRPr="00975E70">
              <w:rPr>
                <w:rFonts w:asciiTheme="majorHAnsi" w:hAnsiTheme="majorHAnsi" w:cstheme="majorHAnsi"/>
                <w:lang w:val="it-IT" w:eastAsia="sl-SI"/>
              </w:rPr>
              <w:t>Koper: Založba Univerze na Primorskem, 2014.</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Everything counts (in small amounts) ---. Koper: University of Primorska Press, 2015. </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MATEJČIĆ, Sniježana, ZANIER, Katharina, GERGOLET, Marko, GUŠTIN, Mitja, KAVUR, Boris, KALČIĆ, Miodrag (urednik). </w:t>
            </w:r>
            <w:r w:rsidRPr="00975E70">
              <w:rPr>
                <w:rFonts w:asciiTheme="majorHAnsi" w:hAnsiTheme="majorHAnsi" w:cstheme="majorHAnsi"/>
                <w:lang w:val="it-IT" w:eastAsia="sl-SI"/>
              </w:rPr>
              <w:t xml:space="preserve">Istarska graditeljska baština venecijanskog razdoblja = Il patrimonio edile istriano dell'epoca veneziana. </w:t>
            </w:r>
            <w:r w:rsidRPr="00975E70">
              <w:rPr>
                <w:rFonts w:asciiTheme="majorHAnsi" w:hAnsiTheme="majorHAnsi" w:cstheme="majorHAnsi"/>
                <w:lang w:val="en-GB" w:eastAsia="sl-SI"/>
              </w:rPr>
              <w:t>Pula: Istarska županija: = Regione Istriana, 2007.</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ČEBRON LIPOVEC, Neža, KAVUR, Boris, OSOJNIK, Minka, ZANIER, Katharina, ROSINA, Elisabetta. Il convento dei </w:t>
            </w:r>
            <w:proofErr w:type="gramStart"/>
            <w:r w:rsidRPr="00975E70">
              <w:rPr>
                <w:rFonts w:asciiTheme="majorHAnsi" w:hAnsiTheme="majorHAnsi" w:cstheme="majorHAnsi"/>
                <w:lang w:val="en-GB" w:eastAsia="sl-SI"/>
              </w:rPr>
              <w:t>Serviti :</w:t>
            </w:r>
            <w:proofErr w:type="gramEnd"/>
            <w:r w:rsidRPr="00975E70">
              <w:rPr>
                <w:rFonts w:asciiTheme="majorHAnsi" w:hAnsiTheme="majorHAnsi" w:cstheme="majorHAnsi"/>
                <w:lang w:val="en-GB" w:eastAsia="sl-SI"/>
              </w:rPr>
              <w:t xml:space="preserve"> un monumento architettonico e archeologico nel cuore di Capodistria = Servitski samostan : arhitekturni in arheološki spomenik v osrčju Kopra = The convent of the Servites : an architectural and archaeological monument in the heart of Koper. Milano: Poliscript, 2017. </w:t>
            </w:r>
          </w:p>
          <w:p w:rsidR="003F44BC" w:rsidRPr="00975E70" w:rsidRDefault="003F44BC" w:rsidP="0022710B">
            <w:pPr>
              <w:pStyle w:val="Brezrazmikov"/>
              <w:spacing w:line="264" w:lineRule="auto"/>
              <w:rPr>
                <w:rFonts w:asciiTheme="majorHAnsi" w:hAnsiTheme="majorHAnsi" w:cstheme="majorHAnsi"/>
                <w:lang w:val="en-GB" w:eastAsia="sl-SI"/>
              </w:rPr>
            </w:pPr>
          </w:p>
          <w:p w:rsidR="003F44BC" w:rsidRPr="00975E70" w:rsidRDefault="003F44BC" w:rsidP="0022710B">
            <w:pPr>
              <w:pStyle w:val="Brezrazmikov"/>
              <w:spacing w:line="264" w:lineRule="auto"/>
              <w:rPr>
                <w:rFonts w:asciiTheme="majorHAnsi" w:hAnsiTheme="majorHAnsi" w:cstheme="majorHAnsi"/>
                <w:b/>
                <w:lang w:val="en-GB" w:eastAsia="sl-SI"/>
              </w:rPr>
            </w:pPr>
            <w:r w:rsidRPr="00975E70">
              <w:rPr>
                <w:rFonts w:asciiTheme="majorHAnsi" w:hAnsiTheme="majorHAnsi" w:cstheme="majorHAnsi"/>
                <w:b/>
                <w:lang w:val="en-GB" w:eastAsia="sl-SI"/>
              </w:rPr>
              <w:t>Članki</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You are my sunshine </w:t>
            </w:r>
            <w:proofErr w:type="gramStart"/>
            <w:r w:rsidRPr="00975E70">
              <w:rPr>
                <w:rFonts w:asciiTheme="majorHAnsi" w:hAnsiTheme="majorHAnsi" w:cstheme="majorHAnsi"/>
                <w:lang w:val="en-GB" w:eastAsia="sl-SI"/>
              </w:rPr>
              <w:t>--- :</w:t>
            </w:r>
            <w:proofErr w:type="gramEnd"/>
            <w:r w:rsidRPr="00975E70">
              <w:rPr>
                <w:rFonts w:asciiTheme="majorHAnsi" w:hAnsiTheme="majorHAnsi" w:cstheme="majorHAnsi"/>
                <w:lang w:val="en-GB" w:eastAsia="sl-SI"/>
              </w:rPr>
              <w:t xml:space="preserve"> a single glass bead from Momišići = Ti si moje sunce --- : jedna staklena perla iz Momišića. Nova antička Duklja. </w:t>
            </w:r>
            <w:proofErr w:type="gramStart"/>
            <w:r w:rsidRPr="00975E70">
              <w:rPr>
                <w:rFonts w:asciiTheme="majorHAnsi" w:hAnsiTheme="majorHAnsi" w:cstheme="majorHAnsi"/>
                <w:lang w:val="en-GB" w:eastAsia="sl-SI"/>
              </w:rPr>
              <w:t>2019</w:t>
            </w:r>
            <w:proofErr w:type="gramEnd"/>
            <w:r w:rsidRPr="00975E70">
              <w:rPr>
                <w:rFonts w:asciiTheme="majorHAnsi" w:hAnsiTheme="majorHAnsi" w:cstheme="majorHAnsi"/>
                <w:lang w:val="en-GB" w:eastAsia="sl-SI"/>
              </w:rPr>
              <w:t>, 10, str. 7-19.</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Many shades of </w:t>
            </w:r>
            <w:proofErr w:type="gramStart"/>
            <w:r w:rsidRPr="00975E70">
              <w:rPr>
                <w:rFonts w:asciiTheme="majorHAnsi" w:hAnsiTheme="majorHAnsi" w:cstheme="majorHAnsi"/>
                <w:lang w:val="en-GB" w:eastAsia="sl-SI"/>
              </w:rPr>
              <w:t>translucent :</w:t>
            </w:r>
            <w:proofErr w:type="gramEnd"/>
            <w:r w:rsidRPr="00975E70">
              <w:rPr>
                <w:rFonts w:asciiTheme="majorHAnsi" w:hAnsiTheme="majorHAnsi" w:cstheme="majorHAnsi"/>
                <w:lang w:val="en-GB" w:eastAsia="sl-SI"/>
              </w:rPr>
              <w:t xml:space="preserve"> amphoriskos-shaped beads from Vičja luka = Mnogo nijansi prozirnog : staklene perle u obliku amforiska iz Vičje luke. Vjesnik za arheologiju i historiju dalmatinsku. </w:t>
            </w:r>
            <w:proofErr w:type="gramStart"/>
            <w:r w:rsidRPr="00975E70">
              <w:rPr>
                <w:rFonts w:asciiTheme="majorHAnsi" w:hAnsiTheme="majorHAnsi" w:cstheme="majorHAnsi"/>
                <w:lang w:val="en-GB" w:eastAsia="sl-SI"/>
              </w:rPr>
              <w:t>2017</w:t>
            </w:r>
            <w:proofErr w:type="gramEnd"/>
            <w:r w:rsidRPr="00975E70">
              <w:rPr>
                <w:rFonts w:asciiTheme="majorHAnsi" w:hAnsiTheme="majorHAnsi" w:cstheme="majorHAnsi"/>
                <w:lang w:val="en-GB" w:eastAsia="sl-SI"/>
              </w:rPr>
              <w:t>, sv.1, 110, str. 93-112.</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Heads </w:t>
            </w:r>
            <w:proofErr w:type="gramStart"/>
            <w:r w:rsidRPr="00975E70">
              <w:rPr>
                <w:rFonts w:asciiTheme="majorHAnsi" w:hAnsiTheme="majorHAnsi" w:cstheme="majorHAnsi"/>
                <w:lang w:val="en-GB" w:eastAsia="sl-SI"/>
              </w:rPr>
              <w:t>apart :</w:t>
            </w:r>
            <w:proofErr w:type="gramEnd"/>
            <w:r w:rsidRPr="00975E70">
              <w:rPr>
                <w:rFonts w:asciiTheme="majorHAnsi" w:hAnsiTheme="majorHAnsi" w:cstheme="majorHAnsi"/>
                <w:lang w:val="en-GB" w:eastAsia="sl-SI"/>
              </w:rPr>
              <w:t xml:space="preserve"> the invisible history of the Servite monastery in Koper. Hortus artium </w:t>
            </w:r>
            <w:proofErr w:type="gramStart"/>
            <w:r w:rsidRPr="00975E70">
              <w:rPr>
                <w:rFonts w:asciiTheme="majorHAnsi" w:hAnsiTheme="majorHAnsi" w:cstheme="majorHAnsi"/>
                <w:lang w:val="en-GB" w:eastAsia="sl-SI"/>
              </w:rPr>
              <w:t>medievalium :</w:t>
            </w:r>
            <w:proofErr w:type="gramEnd"/>
            <w:r w:rsidRPr="00975E70">
              <w:rPr>
                <w:rFonts w:asciiTheme="majorHAnsi" w:hAnsiTheme="majorHAnsi" w:cstheme="majorHAnsi"/>
                <w:lang w:val="en-GB" w:eastAsia="sl-SI"/>
              </w:rPr>
              <w:t xml:space="preserve"> journal of the International Research Center for Late Antiquity and Middle Ages. </w:t>
            </w:r>
            <w:proofErr w:type="gramStart"/>
            <w:r w:rsidRPr="00975E70">
              <w:rPr>
                <w:rFonts w:asciiTheme="majorHAnsi" w:hAnsiTheme="majorHAnsi" w:cstheme="majorHAnsi"/>
                <w:lang w:val="en-GB" w:eastAsia="sl-SI"/>
              </w:rPr>
              <w:t>2013</w:t>
            </w:r>
            <w:proofErr w:type="gramEnd"/>
            <w:r w:rsidRPr="00975E70">
              <w:rPr>
                <w:rFonts w:asciiTheme="majorHAnsi" w:hAnsiTheme="majorHAnsi" w:cstheme="majorHAnsi"/>
                <w:lang w:val="en-GB" w:eastAsia="sl-SI"/>
              </w:rPr>
              <w:t>, vol. 19, str. 417-423.</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KAVUR, Boris, BLEČIĆ KAVUR, Martina, KIRIGIN, Branko. The face from the other side. V: KAMENJARIN, Ivanka (ur.), UGARKOVIĆ, Marina (</w:t>
            </w:r>
            <w:proofErr w:type="gramStart"/>
            <w:r w:rsidRPr="00975E70">
              <w:rPr>
                <w:rFonts w:asciiTheme="majorHAnsi" w:hAnsiTheme="majorHAnsi" w:cstheme="majorHAnsi"/>
                <w:lang w:val="en-GB" w:eastAsia="sl-SI"/>
              </w:rPr>
              <w:t>ur</w:t>
            </w:r>
            <w:proofErr w:type="gramEnd"/>
            <w:r w:rsidRPr="00975E70">
              <w:rPr>
                <w:rFonts w:asciiTheme="majorHAnsi" w:hAnsiTheme="majorHAnsi" w:cstheme="majorHAnsi"/>
                <w:lang w:val="en-GB" w:eastAsia="sl-SI"/>
              </w:rPr>
              <w:t xml:space="preserve">.). Exploring the </w:t>
            </w:r>
            <w:proofErr w:type="gramStart"/>
            <w:r w:rsidRPr="00975E70">
              <w:rPr>
                <w:rFonts w:asciiTheme="majorHAnsi" w:hAnsiTheme="majorHAnsi" w:cstheme="majorHAnsi"/>
                <w:lang w:val="en-GB" w:eastAsia="sl-SI"/>
              </w:rPr>
              <w:t>neighborhood :</w:t>
            </w:r>
            <w:proofErr w:type="gramEnd"/>
            <w:r w:rsidRPr="00975E70">
              <w:rPr>
                <w:rFonts w:asciiTheme="majorHAnsi" w:hAnsiTheme="majorHAnsi" w:cstheme="majorHAnsi"/>
                <w:lang w:val="en-GB" w:eastAsia="sl-SI"/>
              </w:rPr>
              <w:t xml:space="preserve"> the role of ceramics in understanding place in the Hellenistic world : proceedings of the 3rd Conference of IARPotHP, Kaštela, June 2017, 1st - 4th. Wien: Phoibos, 2020. Str. 353-361.</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ČEBRON LIPOVEC, Neža, KAVUR, Boris, OSOJNIK, Minka, ZANIER, Katharina. Servitski samostan v </w:t>
            </w:r>
            <w:proofErr w:type="gramStart"/>
            <w:r w:rsidRPr="00975E70">
              <w:rPr>
                <w:rFonts w:asciiTheme="majorHAnsi" w:hAnsiTheme="majorHAnsi" w:cstheme="majorHAnsi"/>
                <w:lang w:val="en-GB" w:eastAsia="sl-SI"/>
              </w:rPr>
              <w:t>Kopru :</w:t>
            </w:r>
            <w:proofErr w:type="gramEnd"/>
            <w:r w:rsidRPr="00975E70">
              <w:rPr>
                <w:rFonts w:asciiTheme="majorHAnsi" w:hAnsiTheme="majorHAnsi" w:cstheme="majorHAnsi"/>
                <w:lang w:val="en-GB" w:eastAsia="sl-SI"/>
              </w:rPr>
              <w:t xml:space="preserve"> arhitekturni spomenik in arheološko najdišče. V: ROGOZNICA, Deborah (</w:t>
            </w:r>
            <w:proofErr w:type="gramStart"/>
            <w:r w:rsidRPr="00975E70">
              <w:rPr>
                <w:rFonts w:asciiTheme="majorHAnsi" w:hAnsiTheme="majorHAnsi" w:cstheme="majorHAnsi"/>
                <w:lang w:val="en-GB" w:eastAsia="sl-SI"/>
              </w:rPr>
              <w:t>ur</w:t>
            </w:r>
            <w:proofErr w:type="gramEnd"/>
            <w:r w:rsidRPr="00975E70">
              <w:rPr>
                <w:rFonts w:asciiTheme="majorHAnsi" w:hAnsiTheme="majorHAnsi" w:cstheme="majorHAnsi"/>
                <w:lang w:val="en-GB" w:eastAsia="sl-SI"/>
              </w:rPr>
              <w:t>.). </w:t>
            </w:r>
            <w:r w:rsidRPr="00975E70">
              <w:rPr>
                <w:rFonts w:asciiTheme="majorHAnsi" w:hAnsiTheme="majorHAnsi" w:cstheme="majorHAnsi"/>
                <w:lang w:val="it-IT" w:eastAsia="sl-SI"/>
              </w:rPr>
              <w:t xml:space="preserve">Začetki spomeniške službe v Istri = Gli inizi della tutela dei beni culturali in Istria = Počeci konzervatorske službe u Istri. </w:t>
            </w:r>
            <w:r w:rsidRPr="00975E70">
              <w:rPr>
                <w:rFonts w:asciiTheme="majorHAnsi" w:hAnsiTheme="majorHAnsi" w:cstheme="majorHAnsi"/>
                <w:lang w:val="en-GB" w:eastAsia="sl-SI"/>
              </w:rPr>
              <w:t>Koper; = Capodistria: Histria Editiones, 2015. Str. 331-362.</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Live long and prosper! : </w:t>
            </w:r>
            <w:proofErr w:type="gramStart"/>
            <w:r w:rsidRPr="00975E70">
              <w:rPr>
                <w:rFonts w:asciiTheme="majorHAnsi" w:hAnsiTheme="majorHAnsi" w:cstheme="majorHAnsi"/>
                <w:lang w:val="en-GB" w:eastAsia="sl-SI"/>
              </w:rPr>
              <w:t>rhyta</w:t>
            </w:r>
            <w:proofErr w:type="gramEnd"/>
            <w:r w:rsidRPr="00975E70">
              <w:rPr>
                <w:rFonts w:asciiTheme="majorHAnsi" w:hAnsiTheme="majorHAnsi" w:cstheme="majorHAnsi"/>
                <w:lang w:val="en-GB" w:eastAsia="sl-SI"/>
              </w:rPr>
              <w:t xml:space="preserve"> as a symbol of wealth and infinity. </w:t>
            </w:r>
            <w:r w:rsidRPr="00975E70">
              <w:rPr>
                <w:rFonts w:asciiTheme="majorHAnsi" w:hAnsiTheme="majorHAnsi" w:cstheme="majorHAnsi"/>
                <w:lang w:val="it-IT" w:eastAsia="sl-SI"/>
              </w:rPr>
              <w:t xml:space="preserve">V: TONČINIĆ, Domagoj (ur.), et al. Studia honoraria </w:t>
            </w:r>
            <w:proofErr w:type="gramStart"/>
            <w:r w:rsidRPr="00975E70">
              <w:rPr>
                <w:rFonts w:asciiTheme="majorHAnsi" w:hAnsiTheme="majorHAnsi" w:cstheme="majorHAnsi"/>
                <w:lang w:val="it-IT" w:eastAsia="sl-SI"/>
              </w:rPr>
              <w:t>archaeologica :</w:t>
            </w:r>
            <w:proofErr w:type="gramEnd"/>
            <w:r w:rsidRPr="00975E70">
              <w:rPr>
                <w:rFonts w:asciiTheme="majorHAnsi" w:hAnsiTheme="majorHAnsi" w:cstheme="majorHAnsi"/>
                <w:lang w:val="it-IT" w:eastAsia="sl-SI"/>
              </w:rPr>
              <w:t xml:space="preserve"> zbornik radova u prigodi 65. rođendana prof. dr. sc. Mirjane Sanader. Zagreb: Filozofski fakultet Sveučilišta u Zagrebu, Arheološki zavod Odsjeka za arheologiju, 2020. </w:t>
            </w:r>
            <w:r w:rsidRPr="00975E70">
              <w:rPr>
                <w:rFonts w:asciiTheme="majorHAnsi" w:hAnsiTheme="majorHAnsi" w:cstheme="majorHAnsi"/>
                <w:lang w:val="en-GB" w:eastAsia="sl-SI"/>
              </w:rPr>
              <w:t>Str. 31-42.</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Privjesak kao tijelo - tijelo kao </w:t>
            </w:r>
            <w:proofErr w:type="gramStart"/>
            <w:r w:rsidRPr="00975E70">
              <w:rPr>
                <w:rFonts w:asciiTheme="majorHAnsi" w:hAnsiTheme="majorHAnsi" w:cstheme="majorHAnsi"/>
                <w:lang w:val="en-GB" w:eastAsia="sl-SI"/>
              </w:rPr>
              <w:t>poruka :</w:t>
            </w:r>
            <w:proofErr w:type="gramEnd"/>
            <w:r w:rsidRPr="00975E70">
              <w:rPr>
                <w:rFonts w:asciiTheme="majorHAnsi" w:hAnsiTheme="majorHAnsi" w:cstheme="majorHAnsi"/>
                <w:lang w:val="en-GB" w:eastAsia="sl-SI"/>
              </w:rPr>
              <w:t xml:space="preserve"> reprezentacija tijela u simboličkoj interakciji predmeta. V: FILIPOVIĆ, Vojislav (ur.), BULATOVIĆ, Aleksandar (ur.), KAPURAN, Aleksandar (</w:t>
            </w:r>
            <w:proofErr w:type="gramStart"/>
            <w:r w:rsidRPr="00975E70">
              <w:rPr>
                <w:rFonts w:asciiTheme="majorHAnsi" w:hAnsiTheme="majorHAnsi" w:cstheme="majorHAnsi"/>
                <w:lang w:val="en-GB" w:eastAsia="sl-SI"/>
              </w:rPr>
              <w:t>ur</w:t>
            </w:r>
            <w:proofErr w:type="gramEnd"/>
            <w:r w:rsidRPr="00975E70">
              <w:rPr>
                <w:rFonts w:asciiTheme="majorHAnsi" w:hAnsiTheme="majorHAnsi" w:cstheme="majorHAnsi"/>
                <w:lang w:val="en-GB" w:eastAsia="sl-SI"/>
              </w:rPr>
              <w:t>.). Papers in Honour of Rastko Vasić 80th Birthday. Belgrade: Institute of Archaeology, 2019. Str. 155-164.</w:t>
            </w:r>
          </w:p>
          <w:p w:rsidR="003F44BC" w:rsidRPr="00975E70" w:rsidRDefault="003F44BC" w:rsidP="003F44BC">
            <w:pPr>
              <w:pStyle w:val="Brezrazmikov"/>
              <w:numPr>
                <w:ilvl w:val="0"/>
                <w:numId w:val="6"/>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BLEČIĆ KAVUR, Martina. '--- to boldly go where no man has gone </w:t>
            </w:r>
            <w:proofErr w:type="gramStart"/>
            <w:r w:rsidRPr="00975E70">
              <w:rPr>
                <w:rFonts w:asciiTheme="majorHAnsi" w:hAnsiTheme="majorHAnsi" w:cstheme="majorHAnsi"/>
                <w:lang w:val="en-GB" w:eastAsia="sl-SI"/>
              </w:rPr>
              <w:t>before.' :</w:t>
            </w:r>
            <w:proofErr w:type="gramEnd"/>
            <w:r w:rsidRPr="00975E70">
              <w:rPr>
                <w:rFonts w:asciiTheme="majorHAnsi" w:hAnsiTheme="majorHAnsi" w:cstheme="majorHAnsi"/>
                <w:lang w:val="en-GB" w:eastAsia="sl-SI"/>
              </w:rPr>
              <w:t xml:space="preserve"> Dedicated to Ruth and Vicent... V: GOSDEN, Chris (</w:t>
            </w:r>
            <w:proofErr w:type="gramStart"/>
            <w:r w:rsidRPr="00975E70">
              <w:rPr>
                <w:rFonts w:asciiTheme="majorHAnsi" w:hAnsiTheme="majorHAnsi" w:cstheme="majorHAnsi"/>
                <w:lang w:val="en-GB" w:eastAsia="sl-SI"/>
              </w:rPr>
              <w:t>ur</w:t>
            </w:r>
            <w:proofErr w:type="gramEnd"/>
            <w:r w:rsidRPr="00975E70">
              <w:rPr>
                <w:rFonts w:asciiTheme="majorHAnsi" w:hAnsiTheme="majorHAnsi" w:cstheme="majorHAnsi"/>
                <w:lang w:val="en-GB" w:eastAsia="sl-SI"/>
              </w:rPr>
              <w:t xml:space="preserve">.). Celtic art in </w:t>
            </w:r>
            <w:proofErr w:type="gramStart"/>
            <w:r w:rsidRPr="00975E70">
              <w:rPr>
                <w:rFonts w:asciiTheme="majorHAnsi" w:hAnsiTheme="majorHAnsi" w:cstheme="majorHAnsi"/>
                <w:lang w:val="en-GB" w:eastAsia="sl-SI"/>
              </w:rPr>
              <w:t>Europe :</w:t>
            </w:r>
            <w:proofErr w:type="gramEnd"/>
            <w:r w:rsidRPr="00975E70">
              <w:rPr>
                <w:rFonts w:asciiTheme="majorHAnsi" w:hAnsiTheme="majorHAnsi" w:cstheme="majorHAnsi"/>
                <w:lang w:val="en-GB" w:eastAsia="sl-SI"/>
              </w:rPr>
              <w:t xml:space="preserve"> making connections : essays in honour of Vincent Megaw on his 80th birthday. Oxford; Philadelphia: Oxbow Books, 2014. Str. 264-273.</w:t>
            </w:r>
          </w:p>
          <w:p w:rsidR="003F44BC" w:rsidRPr="00975E70" w:rsidRDefault="003F44BC" w:rsidP="003F44BC">
            <w:pPr>
              <w:pStyle w:val="Brezrazmikov"/>
              <w:numPr>
                <w:ilvl w:val="0"/>
                <w:numId w:val="6"/>
              </w:numPr>
              <w:spacing w:line="264" w:lineRule="auto"/>
              <w:rPr>
                <w:rFonts w:asciiTheme="majorHAnsi" w:hAnsiTheme="majorHAnsi" w:cstheme="majorHAnsi"/>
                <w:lang w:val="it-IT" w:eastAsia="sl-SI"/>
              </w:rPr>
            </w:pPr>
            <w:r w:rsidRPr="00975E70">
              <w:rPr>
                <w:rFonts w:asciiTheme="majorHAnsi" w:hAnsiTheme="majorHAnsi" w:cstheme="majorHAnsi"/>
                <w:lang w:val="en-GB" w:eastAsia="sl-SI"/>
              </w:rPr>
              <w:t xml:space="preserve">BRADANOVIĆ, Marijan, ČEČ, Dragica, GERGOLET, Marko, GUŠTIN, Mitja, KAVUR, Boris, MATEJČIĆ, Sniježana. Urbana </w:t>
            </w:r>
            <w:proofErr w:type="gramStart"/>
            <w:r w:rsidRPr="00975E70">
              <w:rPr>
                <w:rFonts w:asciiTheme="majorHAnsi" w:hAnsiTheme="majorHAnsi" w:cstheme="majorHAnsi"/>
                <w:lang w:val="en-GB" w:eastAsia="sl-SI"/>
              </w:rPr>
              <w:t>Istra :</w:t>
            </w:r>
            <w:proofErr w:type="gramEnd"/>
            <w:r w:rsidRPr="00975E70">
              <w:rPr>
                <w:rFonts w:asciiTheme="majorHAnsi" w:hAnsiTheme="majorHAnsi" w:cstheme="majorHAnsi"/>
                <w:lang w:val="en-GB" w:eastAsia="sl-SI"/>
              </w:rPr>
              <w:t xml:space="preserve"> beneška arhitekturna dediščina = Urban Istria : the venetian architectural heritage. V: DAROVEC, Darko (ur.), et al. Srce Istre = Heart of </w:t>
            </w:r>
            <w:proofErr w:type="gramStart"/>
            <w:r w:rsidRPr="00975E70">
              <w:rPr>
                <w:rFonts w:asciiTheme="majorHAnsi" w:hAnsiTheme="majorHAnsi" w:cstheme="majorHAnsi"/>
                <w:lang w:val="en-GB" w:eastAsia="sl-SI"/>
              </w:rPr>
              <w:t>Istria :</w:t>
            </w:r>
            <w:proofErr w:type="gramEnd"/>
            <w:r w:rsidRPr="00975E70">
              <w:rPr>
                <w:rFonts w:asciiTheme="majorHAnsi" w:hAnsiTheme="majorHAnsi" w:cstheme="majorHAnsi"/>
                <w:lang w:val="en-GB" w:eastAsia="sl-SI"/>
              </w:rPr>
              <w:t xml:space="preserve"> poti kulturne dediščine = heritage and art: cultural itineraries. </w:t>
            </w:r>
            <w:r w:rsidRPr="00975E70">
              <w:rPr>
                <w:rFonts w:asciiTheme="majorHAnsi" w:hAnsiTheme="majorHAnsi" w:cstheme="majorHAnsi"/>
                <w:lang w:val="it-IT" w:eastAsia="sl-SI"/>
              </w:rPr>
              <w:t>Koper: Univerza na Primorskem, Znanstveno-raziskovalno središče, Založba Annales, 2007. Str. 13-103.</w:t>
            </w:r>
          </w:p>
          <w:p w:rsidR="003F44BC" w:rsidRPr="00975E70" w:rsidRDefault="003F44BC" w:rsidP="0022710B">
            <w:pPr>
              <w:spacing w:line="264" w:lineRule="auto"/>
              <w:rPr>
                <w:rFonts w:asciiTheme="majorHAnsi" w:hAnsiTheme="majorHAnsi" w:cstheme="majorHAnsi"/>
                <w:sz w:val="22"/>
                <w:szCs w:val="22"/>
                <w:lang w:val="it-IT"/>
              </w:rPr>
            </w:pPr>
          </w:p>
        </w:tc>
      </w:tr>
    </w:tbl>
    <w:p w:rsidR="004A0E84" w:rsidRPr="003F44BC" w:rsidRDefault="004A0E84">
      <w:pPr>
        <w:rPr>
          <w:lang w:val="it-IT"/>
        </w:rPr>
      </w:pPr>
    </w:p>
    <w:sectPr w:rsidR="004A0E84" w:rsidRPr="003F44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6684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031C99"/>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0725E"/>
    <w:multiLevelType w:val="hybridMultilevel"/>
    <w:tmpl w:val="9FD2B052"/>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238EE"/>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03F7C"/>
    <w:multiLevelType w:val="hybridMultilevel"/>
    <w:tmpl w:val="FFFFFFFF"/>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4B37919"/>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B252813"/>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2A654D"/>
    <w:multiLevelType w:val="hybridMultilevel"/>
    <w:tmpl w:val="AC026F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EF0EDF"/>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3"/>
  </w:num>
  <w:num w:numId="5">
    <w:abstractNumId w:val="8"/>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4BC"/>
    <w:rsid w:val="0005244A"/>
    <w:rsid w:val="000A3FF5"/>
    <w:rsid w:val="00101D40"/>
    <w:rsid w:val="00115671"/>
    <w:rsid w:val="001E1204"/>
    <w:rsid w:val="00206060"/>
    <w:rsid w:val="00235D36"/>
    <w:rsid w:val="00302F83"/>
    <w:rsid w:val="00332C9B"/>
    <w:rsid w:val="00374833"/>
    <w:rsid w:val="003F44BC"/>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18BD65-0951-42E0-B3FB-940A4279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F44BC"/>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3F44BC"/>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3F44BC"/>
    <w:pPr>
      <w:ind w:left="720"/>
      <w:contextualSpacing/>
    </w:pPr>
    <w:rPr>
      <w:sz w:val="22"/>
      <w:szCs w:val="22"/>
      <w:lang w:eastAsia="en-US"/>
    </w:rPr>
  </w:style>
  <w:style w:type="character" w:styleId="Krepko">
    <w:name w:val="Strong"/>
    <w:basedOn w:val="Privzetapisavaodstavka"/>
    <w:uiPriority w:val="22"/>
    <w:qFormat/>
    <w:rsid w:val="003F44BC"/>
    <w:rPr>
      <w:rFonts w:cs="Times New Roman"/>
      <w:b/>
    </w:rPr>
  </w:style>
  <w:style w:type="paragraph" w:styleId="Brezrazmikov">
    <w:name w:val="No Spacing"/>
    <w:uiPriority w:val="1"/>
    <w:qFormat/>
    <w:rsid w:val="003F44BC"/>
    <w:pPr>
      <w:spacing w:after="0" w:line="240" w:lineRule="auto"/>
    </w:pPr>
    <w:rPr>
      <w:rFonts w:ascii="Calibri" w:eastAsia="Times New Roman" w:hAnsi="Calibri" w:cs="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F4113D5-1C7F-4327-82DB-7DC11E0EFBFC}"/>
</file>

<file path=customXml/itemProps2.xml><?xml version="1.0" encoding="utf-8"?>
<ds:datastoreItem xmlns:ds="http://schemas.openxmlformats.org/officeDocument/2006/customXml" ds:itemID="{47346F02-E4D8-46A2-9CBC-39D2D3691D05}"/>
</file>

<file path=customXml/itemProps3.xml><?xml version="1.0" encoding="utf-8"?>
<ds:datastoreItem xmlns:ds="http://schemas.openxmlformats.org/officeDocument/2006/customXml" ds:itemID="{4999893D-5115-4FE5-BCDF-636470ECA01E}"/>
</file>

<file path=docProps/app.xml><?xml version="1.0" encoding="utf-8"?>
<Properties xmlns="http://schemas.openxmlformats.org/officeDocument/2006/extended-properties" xmlns:vt="http://schemas.openxmlformats.org/officeDocument/2006/docPropsVTypes">
  <Template>Normal.dotm</Template>
  <TotalTime>1</TotalTime>
  <Pages>5</Pages>
  <Words>2159</Words>
  <Characters>12311</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2023-10-18T08:32:00Z</dcterms:created>
  <dcterms:modified xsi:type="dcterms:W3CDTF">2023-10-18T08:33:00Z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16451000</vt:r8>
  </property>
</Properties>
</file>